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t>1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SWTID-2026-3491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t>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>
            <w:r>
              <w:t>5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>
            <w:r>
              <w:rPr>
                <w:rFonts w:ascii="Aptos" w:hAnsi="Aptos"/>
                <w:sz w:val="16"/>
              </w:rPr>
              <w:t>S.No.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Parameter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rFonts w:ascii="Aptos" w:hAnsi="Aptos"/>
                <w:sz w:val="16"/>
              </w:rPr>
              <w:t>1.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Data Rendered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Employee Test: Employee ID, Employee Name, Email, Department, Location. Verify records against transform history.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rFonts w:ascii="Aptos" w:hAnsi="Aptos"/>
                <w:sz w:val="16"/>
              </w:rPr>
              <w:t>2.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Data Preprocessing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Check source headers, blank values, consistent field names and correct sheet selection before loading.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rFonts w:ascii="Aptos" w:hAnsi="Aptos"/>
                <w:sz w:val="16"/>
              </w:rPr>
              <w:t>3.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Utilization of Filters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Validate report grouping by Department and Location against Employee Test values.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rFonts w:ascii="Aptos" w:hAnsi="Aptos"/>
                <w:sz w:val="16"/>
              </w:rPr>
              <w:t>4.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Calculation fields Used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No custom calculated fields specified. Department and Location reports use Count aggregation.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rFonts w:ascii="Aptos" w:hAnsi="Aptos"/>
                <w:sz w:val="16"/>
              </w:rPr>
              <w:t>5.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Dashboard design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Three planned reports: Employees by Department (pie), Employees by Location (bar), Employee List Report.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rFonts w:ascii="Aptos" w:hAnsi="Aptos"/>
                <w:sz w:val="16"/>
              </w:rPr>
              <w:t>6.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Story Design</w:t>
            </w:r>
          </w:p>
        </w:tc>
        <w:tc>
          <w:tcPr/>
          <w:p>
            <w:r>
              <w:rPr>
                <w:rFonts w:ascii="Aptos" w:hAnsi="Aptos"/>
                <w:sz w:val="16"/>
              </w:rPr>
              <w:t>No separate Tableau story is specified; use Employee Analytics Dashboards to present the three saved ServiceNow reports.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