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libri" w:hAnsi="Calibri"/>
          <w:b/>
          <w:color w:val="C69214"/>
          <w:sz w:val="20"/>
        </w:rPr>
        <w:t>PRODUCTION READINESS • SECURITY • RELIABILITY</w:t>
      </w:r>
    </w:p>
    <w:p>
      <w:pPr>
        <w:pStyle w:val="Title"/>
        <w:jc w:val="center"/>
      </w:pPr>
      <w:r>
        <w:t>Trinity Family School</w:t>
        <w:br/>
        <w:t>Production Safety Remediation Runbook</w:t>
      </w:r>
    </w:p>
    <w:p>
      <w:pPr>
        <w:pStyle w:val="Subtitle"/>
        <w:jc w:val="center"/>
      </w:pPr>
      <w:r>
        <w:t>A staged, non-breaking plan for resolving the verified codebase risks and preparing the application for production</w:t>
      </w:r>
    </w:p>
    <w:p>
      <w:pPr>
        <w:spacing w:before="480"/>
        <w:jc w:val="center"/>
      </w:pPr>
      <w:r>
        <w:rPr>
          <w:b/>
          <w:color w:val="1F4D78"/>
        </w:rPr>
        <w:t>Current verified snapshot: 15 July 2026</w:t>
      </w:r>
    </w:p>
    <w:tbl>
      <w:tblPr>
        <w:tblStyle w:val="TableGrid"/>
        <w:tblW w:type="dxa" w:w="9360"/>
        <w:jc w:val="center"/>
        <w:tblLayout w:type="fixed"/>
        <w:tblLook w:firstColumn="1" w:firstRow="1" w:lastColumn="0" w:lastRow="0" w:noHBand="0" w:noVBand="1" w:val="04A0"/>
        <w:tblInd w:w="120" w:type="dxa"/>
      </w:tblPr>
      <w:tblGrid>
        <w:gridCol w:w="1944"/>
        <w:gridCol w:w="7416"/>
      </w:tblGrid>
      <w:tr>
        <w:trPr>
          <w:tblHeader w:val="true"/>
        </w:trPr>
        <w:tc>
          <w:tcPr>
            <w:tcW w:type="dxa" w:w="1944"/>
            <w:shd w:fill="E8EEF5"/>
            <w:tcMar>
              <w:top w:w="80" w:type="dxa"/>
              <w:start w:w="120" w:type="dxa"/>
              <w:bottom w:w="80" w:type="dxa"/>
              <w:end w:w="120" w:type="dxa"/>
            </w:tcMar>
            <w:vAlign w:val="center"/>
          </w:tcPr>
          <w:p>
            <w:pPr>
              <w:spacing w:after="40" w:before="0" w:line="252" w:lineRule="auto"/>
            </w:pPr>
            <w:r>
              <w:rPr>
                <w:rFonts w:ascii="Calibri" w:hAnsi="Calibri"/>
                <w:b/>
                <w:sz w:val="19"/>
              </w:rPr>
              <w:t>Prepared for</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9"/>
              </w:rPr>
              <w:t>Trinity Family School application owners and implementation team</w:t>
            </w:r>
          </w:p>
        </w:tc>
      </w:tr>
      <w:tr>
        <w:tc>
          <w:tcPr>
            <w:tcW w:type="dxa" w:w="1944"/>
            <w:shd w:fill="E8EEF5"/>
            <w:tcMar>
              <w:top w:w="80" w:type="dxa"/>
              <w:start w:w="120" w:type="dxa"/>
              <w:bottom w:w="80" w:type="dxa"/>
              <w:end w:w="120" w:type="dxa"/>
            </w:tcMar>
            <w:vAlign w:val="center"/>
          </w:tcPr>
          <w:p>
            <w:pPr>
              <w:spacing w:after="40" w:before="0" w:line="252" w:lineRule="auto"/>
            </w:pPr>
            <w:r>
              <w:rPr>
                <w:rFonts w:ascii="Calibri" w:hAnsi="Calibri"/>
                <w:b/>
                <w:sz w:val="19"/>
              </w:rPr>
              <w:t>Purpose</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9"/>
              </w:rPr>
              <w:t>Convert audit findings into an exact remediation flow with safeguards, rollback points, and release gates</w:t>
            </w:r>
          </w:p>
        </w:tc>
      </w:tr>
      <w:tr>
        <w:tc>
          <w:tcPr>
            <w:tcW w:type="dxa" w:w="1944"/>
            <w:shd w:fill="E8EEF5"/>
            <w:tcMar>
              <w:top w:w="80" w:type="dxa"/>
              <w:start w:w="120" w:type="dxa"/>
              <w:bottom w:w="80" w:type="dxa"/>
              <w:end w:w="120" w:type="dxa"/>
            </w:tcMar>
            <w:vAlign w:val="center"/>
          </w:tcPr>
          <w:p>
            <w:pPr>
              <w:spacing w:after="40" w:before="0" w:line="252" w:lineRule="auto"/>
            </w:pPr>
            <w:r>
              <w:rPr>
                <w:rFonts w:ascii="Calibri" w:hAnsi="Calibri"/>
                <w:b/>
                <w:sz w:val="19"/>
              </w:rPr>
              <w:t>Status</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9"/>
              </w:rPr>
              <w:t>Action plan — implementation has not yet been performed by this document</w:t>
            </w:r>
          </w:p>
        </w:tc>
      </w:tr>
      <w:tr>
        <w:tc>
          <w:tcPr>
            <w:tcW w:type="dxa" w:w="1944"/>
            <w:shd w:fill="E8EEF5"/>
            <w:tcMar>
              <w:top w:w="80" w:type="dxa"/>
              <w:start w:w="120" w:type="dxa"/>
              <w:bottom w:w="80" w:type="dxa"/>
              <w:end w:w="120" w:type="dxa"/>
            </w:tcMar>
            <w:vAlign w:val="center"/>
          </w:tcPr>
          <w:p>
            <w:pPr>
              <w:spacing w:after="40" w:before="0" w:line="252" w:lineRule="auto"/>
            </w:pPr>
            <w:r>
              <w:rPr>
                <w:rFonts w:ascii="Calibri" w:hAnsi="Calibri"/>
                <w:b/>
                <w:sz w:val="19"/>
              </w:rPr>
              <w:t>Guiding method</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9"/>
              </w:rPr>
              <w:t>Expand → migrate → verify → contract</w:t>
            </w:r>
          </w:p>
        </w:tc>
      </w:tr>
    </w:tbl>
    <w:p>
      <w:pPr>
        <w:spacing w:before="360"/>
        <w:jc w:val="center"/>
      </w:pPr>
      <w:r>
        <w:rPr>
          <w:b/>
          <w:color w:val="C00000"/>
          <w:sz w:val="18"/>
        </w:rPr>
        <w:t>CONFIDENTIAL — INTERNAL REMEDIATION GUIDE</w:t>
      </w:r>
      <w:r>
        <w:br w:type="page"/>
      </w:r>
    </w:p>
    <w:p>
      <w:pPr>
        <w:pStyle w:val="Heading1"/>
      </w:pPr>
      <w:r>
        <w:t>Document purpose and operating rules</w:t>
      </w:r>
    </w:p>
    <w:p>
      <w:r>
        <w:t>This runbook translates the whole-repository review into an implementation sequence. It explains what is wrong, how the issue can be exploited or cause operational damage, the safest countermeasure, the exact order of work, how active components remain compatible during migration, and the evidence required before progressing. File and line references identify the verified snapshot; re-check them if the code moves.</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shd w:fill="FCE8E6"/>
            <w:tcMar>
              <w:top w:w="80" w:type="dxa"/>
              <w:start w:w="120" w:type="dxa"/>
              <w:bottom w:w="80" w:type="dxa"/>
              <w:end w:w="120" w:type="dxa"/>
            </w:tcMar>
            <w:vAlign w:val="center"/>
          </w:tcPr>
          <w:p>
            <w:pPr>
              <w:spacing w:after="40" w:before="0" w:line="252" w:lineRule="auto"/>
            </w:pPr>
            <w:r>
              <w:rPr>
                <w:rFonts w:ascii="Calibri" w:hAnsi="Calibri"/>
                <w:b/>
                <w:color w:val="C00000"/>
                <w:sz w:val="19"/>
              </w:rPr>
              <w:t>PRODUCTION DECISION</w:t>
            </w:r>
          </w:p>
          <w:p>
            <w:pPr>
              <w:spacing w:after="40" w:line="252" w:lineRule="auto" w:before="0"/>
            </w:pPr>
            <w:r>
              <w:rPr>
                <w:rFonts w:ascii="Calibri" w:hAnsi="Calibri"/>
                <w:sz w:val="19"/>
              </w:rPr>
              <w:t>The application should not be treated as production-safe in the reviewed state. The immediate blockers are public Firestore access, forgeable browser-side authentication, unauthenticated mutating APIs and Cloud Functions, exposed or fallback provider credentials, optional payment-webhook verification, and fail-open cron authentication.</w:t>
            </w:r>
          </w:p>
        </w:tc>
      </w:tr>
    </w:tbl>
    <w:p>
      <w:pPr>
        <w:spacing w:after="0"/>
      </w:pPr>
    </w:p>
    <w:p>
      <w:pPr>
        <w:pStyle w:val="Heading2"/>
      </w:pPr>
      <w:r>
        <w:t>How to use this runbook</w:t>
      </w:r>
    </w:p>
    <w:p>
      <w:pPr>
        <w:numPr>
          <w:ilvl w:val="0"/>
          <w:numId w:val="11"/>
        </w:numPr>
        <w:spacing w:after="80"/>
      </w:pPr>
      <w:r>
        <w:t>Work in phase order. A later phase must not be used to compensate for a failed gate in an earlier phase.</w:t>
      </w:r>
    </w:p>
    <w:p>
      <w:pPr>
        <w:numPr>
          <w:ilvl w:val="0"/>
          <w:numId w:val="11"/>
        </w:numPr>
        <w:spacing w:after="80"/>
      </w:pPr>
      <w:r>
        <w:t>Create one small pull request per rollout unit in the implementation sequence. Avoid mixing security controls with UI redesign or unrelated refactoring.</w:t>
      </w:r>
    </w:p>
    <w:p>
      <w:pPr>
        <w:numPr>
          <w:ilvl w:val="0"/>
          <w:numId w:val="11"/>
        </w:numPr>
        <w:spacing w:after="80"/>
      </w:pPr>
      <w:r>
        <w:t>Deploy each behavioral change to a separate Firebase/Vercel staging environment first. Run the listed workflow tests and capture evidence.</w:t>
      </w:r>
    </w:p>
    <w:p>
      <w:pPr>
        <w:numPr>
          <w:ilvl w:val="0"/>
          <w:numId w:val="11"/>
        </w:numPr>
        <w:spacing w:after="80"/>
      </w:pPr>
      <w:r>
        <w:t>Use feature flags, compatibility adapters, dual reads/writes, and reversible rulesets during migrations. Remove legacy paths only after telemetry proves that the replacement is stable.</w:t>
      </w:r>
    </w:p>
    <w:p>
      <w:pPr>
        <w:numPr>
          <w:ilvl w:val="0"/>
          <w:numId w:val="11"/>
        </w:numPr>
        <w:spacing w:after="80"/>
      </w:pPr>
      <w:r>
        <w:t>At every gate, record the commit, environment, tester, date, result, and rollback decision. A gate marked failed blocks production release.</w:t>
      </w:r>
    </w:p>
    <w:p>
      <w:pPr>
        <w:pStyle w:val="Heading2"/>
      </w:pPr>
      <w:r>
        <w:t>Non-breaking change rule</w:t>
      </w:r>
    </w:p>
    <w:tbl>
      <w:tblPr>
        <w:tblStyle w:val="TableGrid"/>
        <w:tblW w:type="dxa" w:w="9360"/>
        <w:jc w:val="center"/>
        <w:tblLayout w:type="fixed"/>
        <w:tblLook w:firstColumn="1" w:firstRow="1" w:lastColumn="0" w:lastRow="0" w:noHBand="0" w:noVBand="1" w:val="04A0"/>
        <w:tblInd w:w="120" w:type="dxa"/>
      </w:tblPr>
      <w:tblGrid>
        <w:gridCol w:w="1440"/>
        <w:gridCol w:w="3456"/>
        <w:gridCol w:w="4464"/>
      </w:tblGrid>
      <w:tr>
        <w:trPr>
          <w:tblHeader w:val="true"/>
        </w:trPr>
        <w:tc>
          <w:tcPr>
            <w:tcW w:type="dxa" w:w="1440"/>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Stage</w:t>
            </w:r>
          </w:p>
        </w:tc>
        <w:tc>
          <w:tcPr>
            <w:tcW w:type="dxa" w:w="345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Meaning</w:t>
            </w:r>
          </w:p>
        </w:tc>
        <w:tc>
          <w:tcPr>
            <w:tcW w:type="dxa" w:w="4464"/>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Required safeguard</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Expand</w:t>
            </w:r>
          </w:p>
        </w:tc>
        <w:tc>
          <w:tcPr>
            <w:tcW w:type="dxa" w:w="3456"/>
            <w:tcMar>
              <w:top w:w="80" w:type="dxa"/>
              <w:start w:w="120" w:type="dxa"/>
              <w:bottom w:w="80" w:type="dxa"/>
              <w:end w:w="120" w:type="dxa"/>
            </w:tcMar>
            <w:vAlign w:val="center"/>
          </w:tcPr>
          <w:p>
            <w:pPr>
              <w:spacing w:after="40" w:before="0" w:line="252" w:lineRule="auto"/>
            </w:pPr>
            <w:r>
              <w:rPr>
                <w:rFonts w:ascii="Calibri" w:hAnsi="Calibri"/>
                <w:sz w:val="17"/>
              </w:rPr>
              <w:t>Add the secure path without removing the existing interface.</w:t>
            </w:r>
          </w:p>
        </w:tc>
        <w:tc>
          <w:tcPr>
            <w:tcW w:type="dxa" w:w="4464"/>
            <w:tcMar>
              <w:top w:w="80" w:type="dxa"/>
              <w:start w:w="120" w:type="dxa"/>
              <w:bottom w:w="80" w:type="dxa"/>
              <w:end w:w="120" w:type="dxa"/>
            </w:tcMar>
            <w:vAlign w:val="center"/>
          </w:tcPr>
          <w:p>
            <w:pPr>
              <w:spacing w:after="40" w:before="0" w:line="252" w:lineRule="auto"/>
            </w:pPr>
            <w:r>
              <w:rPr>
                <w:rFonts w:ascii="Calibri" w:hAnsi="Calibri"/>
                <w:sz w:val="17"/>
              </w:rPr>
              <w:t>Keep current component APIs and data shapes stable behind an adapter.</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Migrate</w:t>
            </w:r>
          </w:p>
        </w:tc>
        <w:tc>
          <w:tcPr>
            <w:tcW w:type="dxa" w:w="3456"/>
            <w:tcMar>
              <w:top w:w="80" w:type="dxa"/>
              <w:start w:w="120" w:type="dxa"/>
              <w:bottom w:w="80" w:type="dxa"/>
              <w:end w:w="120" w:type="dxa"/>
            </w:tcMar>
            <w:vAlign w:val="center"/>
          </w:tcPr>
          <w:p>
            <w:pPr>
              <w:spacing w:after="40" w:before="0" w:line="252" w:lineRule="auto"/>
            </w:pPr>
            <w:r>
              <w:rPr>
                <w:rFonts w:ascii="Calibri" w:hAnsi="Calibri"/>
                <w:sz w:val="17"/>
              </w:rPr>
              <w:t>Move users, data, and traffic in controlled batches.</w:t>
            </w:r>
          </w:p>
        </w:tc>
        <w:tc>
          <w:tcPr>
            <w:tcW w:type="dxa" w:w="4464"/>
            <w:tcMar>
              <w:top w:w="80" w:type="dxa"/>
              <w:start w:w="120" w:type="dxa"/>
              <w:bottom w:w="80" w:type="dxa"/>
              <w:end w:w="120" w:type="dxa"/>
            </w:tcMar>
            <w:vAlign w:val="center"/>
          </w:tcPr>
          <w:p>
            <w:pPr>
              <w:spacing w:after="40" w:before="0" w:line="252" w:lineRule="auto"/>
            </w:pPr>
            <w:r>
              <w:rPr>
                <w:rFonts w:ascii="Calibri" w:hAnsi="Calibri"/>
                <w:sz w:val="17"/>
              </w:rPr>
              <w:t>Use dry runs, feature flags, dual reads/writes, and monitoring.</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Verify</w:t>
            </w:r>
          </w:p>
        </w:tc>
        <w:tc>
          <w:tcPr>
            <w:tcW w:type="dxa" w:w="3456"/>
            <w:tcMar>
              <w:top w:w="80" w:type="dxa"/>
              <w:start w:w="120" w:type="dxa"/>
              <w:bottom w:w="80" w:type="dxa"/>
              <w:end w:w="120" w:type="dxa"/>
            </w:tcMar>
            <w:vAlign w:val="center"/>
          </w:tcPr>
          <w:p>
            <w:pPr>
              <w:spacing w:after="40" w:before="0" w:line="252" w:lineRule="auto"/>
            </w:pPr>
            <w:r>
              <w:rPr>
                <w:rFonts w:ascii="Calibri" w:hAnsi="Calibri"/>
                <w:sz w:val="17"/>
              </w:rPr>
              <w:t>Prove equivalent behavior plus the new security property.</w:t>
            </w:r>
          </w:p>
        </w:tc>
        <w:tc>
          <w:tcPr>
            <w:tcW w:type="dxa" w:w="4464"/>
            <w:tcMar>
              <w:top w:w="80" w:type="dxa"/>
              <w:start w:w="120" w:type="dxa"/>
              <w:bottom w:w="80" w:type="dxa"/>
              <w:end w:w="120" w:type="dxa"/>
            </w:tcMar>
            <w:vAlign w:val="center"/>
          </w:tcPr>
          <w:p>
            <w:pPr>
              <w:spacing w:after="40" w:before="0" w:line="252" w:lineRule="auto"/>
            </w:pPr>
            <w:r>
              <w:rPr>
                <w:rFonts w:ascii="Calibri" w:hAnsi="Calibri"/>
                <w:sz w:val="17"/>
              </w:rPr>
              <w:t>Run workflow, rules, authorization, and rollback tests in staging.</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Contract</w:t>
            </w:r>
          </w:p>
        </w:tc>
        <w:tc>
          <w:tcPr>
            <w:tcW w:type="dxa" w:w="3456"/>
            <w:tcMar>
              <w:top w:w="80" w:type="dxa"/>
              <w:start w:w="120" w:type="dxa"/>
              <w:bottom w:w="80" w:type="dxa"/>
              <w:end w:w="120" w:type="dxa"/>
            </w:tcMar>
            <w:vAlign w:val="center"/>
          </w:tcPr>
          <w:p>
            <w:pPr>
              <w:spacing w:after="40" w:before="0" w:line="252" w:lineRule="auto"/>
            </w:pPr>
            <w:r>
              <w:rPr>
                <w:rFonts w:ascii="Calibri" w:hAnsi="Calibri"/>
                <w:sz w:val="17"/>
              </w:rPr>
              <w:t>Remove the unsafe or redundant path only after adoption is proven.</w:t>
            </w:r>
          </w:p>
        </w:tc>
        <w:tc>
          <w:tcPr>
            <w:tcW w:type="dxa" w:w="4464"/>
            <w:tcMar>
              <w:top w:w="80" w:type="dxa"/>
              <w:start w:w="120" w:type="dxa"/>
              <w:bottom w:w="80" w:type="dxa"/>
              <w:end w:w="120" w:type="dxa"/>
            </w:tcMar>
            <w:vAlign w:val="center"/>
          </w:tcPr>
          <w:p>
            <w:pPr>
              <w:spacing w:after="40" w:before="0" w:line="252" w:lineRule="auto"/>
            </w:pPr>
            <w:r>
              <w:rPr>
                <w:rFonts w:ascii="Calibri" w:hAnsi="Calibri"/>
                <w:sz w:val="17"/>
              </w:rPr>
              <w:t>Require telemetry, a backup, a rollback tag, and explicit approval.</w:t>
            </w:r>
          </w:p>
        </w:tc>
      </w:tr>
    </w:tbl>
    <w:p>
      <w:pPr>
        <w:spacing w:after="0"/>
      </w:pPr>
    </w:p>
    <w:p>
      <w:pPr>
        <w:pStyle w:val="Heading2"/>
      </w:pPr>
      <w:r>
        <w:t>Actions that must not be taken</w:t>
      </w:r>
    </w:p>
    <w:p>
      <w:pPr>
        <w:numPr>
          <w:ilvl w:val="0"/>
          <w:numId w:val="11"/>
        </w:numPr>
        <w:spacing w:after="80"/>
      </w:pPr>
      <w:r>
        <w:t>Do not deploy restrictive Firestore rules before server-backed sign-in and canonical user claims are working; doing so can lock every legitimate user out.</w:t>
      </w:r>
    </w:p>
    <w:p>
      <w:pPr>
        <w:numPr>
          <w:ilvl w:val="0"/>
          <w:numId w:val="11"/>
        </w:numPr>
        <w:spacing w:after="80"/>
      </w:pPr>
      <w:r>
        <w:t>Do not run npm audit fix --force as a bulk production fix. Upgrade one dependency family at a time and test PDF, UI, routing, and build behavior.</w:t>
      </w:r>
    </w:p>
    <w:p>
      <w:pPr>
        <w:numPr>
          <w:ilvl w:val="0"/>
          <w:numId w:val="11"/>
        </w:numPr>
        <w:spacing w:after="80"/>
      </w:pPr>
      <w:r>
        <w:t>Do not delete system_users, duplicate folders, zero-byte assets, scripts, or index files solely because they look unused. Prove no imports, runtime lookups, deployment references, or operational dependencies first.</w:t>
      </w:r>
    </w:p>
    <w:p>
      <w:pPr>
        <w:numPr>
          <w:ilvl w:val="0"/>
          <w:numId w:val="11"/>
        </w:numPr>
        <w:spacing w:after="80"/>
      </w:pPr>
      <w:r>
        <w:t>Do not preserve provider credentials in source history after rotation. Rotation contains exposure; repository-history remediation and secret scanning complete it.</w:t>
      </w:r>
    </w:p>
    <w:p>
      <w:pPr>
        <w:numPr>
          <w:ilvl w:val="0"/>
          <w:numId w:val="11"/>
        </w:numPr>
        <w:spacing w:after="80"/>
      </w:pPr>
      <w:r>
        <w:t>Do not accept query-string secrets, spoofable user-agent values, client-provided roles, or localStorage user objects as authentication evidence.</w:t>
      </w:r>
    </w:p>
    <w:p>
      <w:pPr>
        <w:pStyle w:val="Heading1"/>
      </w:pPr>
      <w:r>
        <w:t>Verified current baseline</w:t>
      </w:r>
    </w:p>
    <w:tbl>
      <w:tblPr>
        <w:tblStyle w:val="TableGrid"/>
        <w:tblW w:type="dxa" w:w="9360"/>
        <w:jc w:val="center"/>
        <w:tblLayout w:type="fixed"/>
        <w:tblLook w:firstColumn="1" w:firstRow="1" w:lastColumn="0" w:lastRow="0" w:noHBand="0" w:noVBand="1" w:val="04A0"/>
        <w:tblInd w:w="120" w:type="dxa"/>
      </w:tblPr>
      <w:tblGrid>
        <w:gridCol w:w="1800"/>
        <w:gridCol w:w="4680"/>
        <w:gridCol w:w="2880"/>
      </w:tblGrid>
      <w:tr>
        <w:trPr>
          <w:tblHeader w:val="true"/>
        </w:trPr>
        <w:tc>
          <w:tcPr>
            <w:tcW w:type="dxa" w:w="180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Area</w:t>
            </w:r>
          </w:p>
        </w:tc>
        <w:tc>
          <w:tcPr>
            <w:tcW w:type="dxa" w:w="468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Verified condition</w:t>
            </w:r>
          </w:p>
        </w:tc>
        <w:tc>
          <w:tcPr>
            <w:tcW w:type="dxa" w:w="288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Production consequence</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Firestore</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firestore.rules permits public read and write.</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Any unauthenticated party may read, alter, or delete school records.</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Authentication</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Custom browser login, reversible Base64 password representation, and indefinite localStorage restore.</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A local browser value can impersonate a user; passwords lack modern protection.</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Server mutations</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26 mutating API route files did not verify an inbound Firebase ID token.</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Public callers can reach administrative, file, payment, pupil, staff, and SMS actions.</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Cloud Functions</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Permissive CORS, embedded credential fallbacks, and no verified caller guard in exposed handlers.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Credentials and chargeable operations can be abused remotely.</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Payments and jobs</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SchoolPay signature verification can be disabled; cron routes fail open when the secret is absent.</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Forged payment events, replay, duplicate sends, and unauthorized jobs are possible.</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Quality</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548 TypeScript diagnostics across 109 files; 3,322 lint findings across 416 files.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Build success does not prove correctness because validation is bypassed.</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Dependencies</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62 production vulnerabilities at root; 22 in functions, including critical and high findings.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Known vulnerable code may be reachable in browser/server paths.</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Tests</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No package test command, only minimal test-related files, and no continuous quality workflow.</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Regressions can reach deployment without detection.</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Performance/privacy</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Large global preloads plus persistent Firestore browser cache.</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Excess data exposure, slow startup, and sensitive data retention after logout.</w:t>
            </w:r>
          </w:p>
        </w:tc>
      </w:tr>
      <w:tr>
        <w:tc>
          <w:tcPr>
            <w:tcW w:type="dxa" w:w="1800"/>
            <w:tcMar>
              <w:top w:w="80" w:type="dxa"/>
              <w:start w:w="120" w:type="dxa"/>
              <w:bottom w:w="80" w:type="dxa"/>
              <w:end w:w="120" w:type="dxa"/>
            </w:tcMar>
            <w:vAlign w:val="center"/>
          </w:tcPr>
          <w:p>
            <w:pPr>
              <w:spacing w:after="40" w:before="0" w:line="252" w:lineRule="auto"/>
            </w:pPr>
            <w:r>
              <w:rPr>
                <w:rFonts w:ascii="Calibri" w:hAnsi="Calibri"/>
                <w:sz w:val="16"/>
              </w:rPr>
              <w:t>Deployment</w:t>
            </w:r>
          </w:p>
        </w:tc>
        <w:tc>
          <w:tcPr>
            <w:tcW w:type="dxa" w:w="4680"/>
            <w:tcMar>
              <w:top w:w="80" w:type="dxa"/>
              <w:start w:w="120" w:type="dxa"/>
              <w:bottom w:w="80" w:type="dxa"/>
              <w:end w:w="120" w:type="dxa"/>
            </w:tcMar>
            <w:vAlign w:val="center"/>
          </w:tcPr>
          <w:p>
            <w:pPr>
              <w:spacing w:after="40" w:before="0" w:line="252" w:lineRule="auto"/>
            </w:pPr>
            <w:r>
              <w:rPr>
                <w:rFonts w:ascii="Calibri" w:hAnsi="Calibri"/>
                <w:sz w:val="16"/>
              </w:rPr>
              <w:t>Firebase hosting points at out while the Next app uses API routes; Node runtime declarations conflict.</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Deployments may target the wrong architecture or runtime.</w:t>
            </w:r>
          </w:p>
        </w:tc>
      </w:tr>
    </w:tbl>
    <w:p>
      <w:pPr>
        <w:spacing w:after="0"/>
      </w:pPr>
    </w:p>
    <w:p>
      <w:pPr>
        <w:pStyle w:val="Heading1"/>
      </w:pPr>
      <w:r>
        <w:t>Risk priority and dependency map</w:t>
      </w:r>
    </w:p>
    <w:tbl>
      <w:tblPr>
        <w:tblStyle w:val="TableGrid"/>
        <w:tblW w:type="dxa" w:w="9360"/>
        <w:jc w:val="center"/>
        <w:tblLayout w:type="fixed"/>
        <w:tblLook w:firstColumn="1" w:firstRow="1" w:lastColumn="0" w:lastRow="0" w:noHBand="0" w:noVBand="1" w:val="04A0"/>
        <w:tblInd w:w="120" w:type="dxa"/>
      </w:tblPr>
      <w:tblGrid>
        <w:gridCol w:w="936"/>
        <w:gridCol w:w="3672"/>
        <w:gridCol w:w="3312"/>
        <w:gridCol w:w="1440"/>
      </w:tblGrid>
      <w:tr>
        <w:trPr>
          <w:tblHeader w:val="true"/>
        </w:trPr>
        <w:tc>
          <w:tcPr>
            <w:tcW w:type="dxa" w:w="936"/>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Priority</w:t>
            </w:r>
          </w:p>
        </w:tc>
        <w:tc>
          <w:tcPr>
            <w:tcW w:type="dxa" w:w="3672"/>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Must be resolved</w:t>
            </w:r>
          </w:p>
        </w:tc>
        <w:tc>
          <w:tcPr>
            <w:tcW w:type="dxa" w:w="3312"/>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Why it comes here</w:t>
            </w:r>
          </w:p>
        </w:tc>
        <w:tc>
          <w:tcPr>
            <w:tcW w:type="dxa" w:w="144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Blocks</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P0</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Credentials, admin setup, public/chargeable endpoints</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Active exposure can cause immediate data, financial, or account damage.</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Any production release</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P0</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Server-backed identity and sessions</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Rules and API authorization need a trustworthy identity source.</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Firestore rules, Storage rules, permissions</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P0</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Firestore/Storage deny-by-default rollout</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Database access is the largest direct confidentiality/integrity exposure.</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Production data safety</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P0</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API, webhook, cron and SMS hardening</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Server-side bypasses remain even after database rules are improved.</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Payments, messaging and administration</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P1</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Data correctness, XSS, sample fallbacks, transactions</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Prevents misleading financial records and stored script execution.</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Business acceptance</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P1</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Quality gates, tests and dependency upgrades</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Creates a controlled change system and detects regression.</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Sustainable releases</w:t>
            </w:r>
          </w:p>
        </w:tc>
      </w:tr>
      <w:tr>
        <w:tc>
          <w:tcPr>
            <w:tcW w:type="dxa" w:w="936"/>
            <w:tcMar>
              <w:top w:w="80" w:type="dxa"/>
              <w:start w:w="120" w:type="dxa"/>
              <w:bottom w:w="80" w:type="dxa"/>
              <w:end w:w="120" w:type="dxa"/>
            </w:tcMar>
            <w:vAlign w:val="center"/>
          </w:tcPr>
          <w:p>
            <w:pPr>
              <w:spacing w:after="40" w:before="0" w:line="252" w:lineRule="auto"/>
            </w:pPr>
            <w:r>
              <w:rPr>
                <w:rFonts w:ascii="Calibri" w:hAnsi="Calibri"/>
                <w:sz w:val="16"/>
              </w:rPr>
              <w:t>P2</w:t>
            </w:r>
          </w:p>
        </w:tc>
        <w:tc>
          <w:tcPr>
            <w:tcW w:type="dxa" w:w="3672"/>
            <w:tcMar>
              <w:top w:w="80" w:type="dxa"/>
              <w:start w:w="120" w:type="dxa"/>
              <w:bottom w:w="80" w:type="dxa"/>
              <w:end w:w="120" w:type="dxa"/>
            </w:tcMar>
            <w:vAlign w:val="center"/>
          </w:tcPr>
          <w:p>
            <w:pPr>
              <w:spacing w:after="40" w:before="0" w:line="252" w:lineRule="auto"/>
            </w:pPr>
            <w:r>
              <w:rPr>
                <w:rFonts w:ascii="Calibri" w:hAnsi="Calibri"/>
                <w:sz w:val="16"/>
              </w:rPr>
              <w:t>Notification/file repair, performance, cleanup and deployment consolidation</w:t>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6"/>
              </w:rPr>
              <w:t>Important, but should not distract from active P0 exposure.</w:t>
            </w:r>
          </w:p>
        </w:tc>
        <w:tc>
          <w:tcPr>
            <w:tcW w:type="dxa" w:w="1440"/>
            <w:tcMar>
              <w:top w:w="80" w:type="dxa"/>
              <w:start w:w="120" w:type="dxa"/>
              <w:bottom w:w="80" w:type="dxa"/>
              <w:end w:w="120" w:type="dxa"/>
            </w:tcMar>
            <w:vAlign w:val="center"/>
          </w:tcPr>
          <w:p>
            <w:pPr>
              <w:spacing w:after="40" w:before="0" w:line="252" w:lineRule="auto"/>
            </w:pPr>
            <w:r>
              <w:rPr>
                <w:rFonts w:ascii="Calibri" w:hAnsi="Calibri"/>
                <w:sz w:val="16"/>
              </w:rPr>
              <w:t>Operational maturity</w:t>
            </w:r>
          </w:p>
        </w:tc>
      </w:tr>
    </w:tbl>
    <w:p>
      <w:pPr>
        <w:spacing w:after="0"/>
      </w:pPr>
    </w:p>
    <w:p>
      <w:pPr>
        <w:pStyle w:val="Heading1"/>
      </w:pPr>
      <w:r>
        <w:t>Target request flows</w:t>
      </w:r>
    </w:p>
    <w:p>
      <w:pPr>
        <w:pStyle w:val="Heading2"/>
      </w:pPr>
      <w:r>
        <w:t>Interactive user request</w:t>
      </w:r>
    </w:p>
    <w:p>
      <w:pPr>
        <w:numPr>
          <w:ilvl w:val="0"/>
          <w:numId w:val="10"/>
        </w:numPr>
        <w:spacing w:after="80"/>
      </w:pPr>
      <w:r>
        <w:t>User submits credentials to a server-only login endpoint over HTTPS.</w:t>
      </w:r>
    </w:p>
    <w:p>
      <w:pPr>
        <w:numPr>
          <w:ilvl w:val="0"/>
          <w:numId w:val="10"/>
        </w:numPr>
        <w:spacing w:after="80"/>
      </w:pPr>
      <w:r>
        <w:t>The server verifies a modern password hash or performs a one-time legacy verification, resolves the canonical users/{uid} record, and checks account status.</w:t>
      </w:r>
    </w:p>
    <w:p>
      <w:pPr>
        <w:numPr>
          <w:ilvl w:val="0"/>
          <w:numId w:val="10"/>
        </w:numPr>
        <w:spacing w:after="80"/>
      </w:pPr>
      <w:r>
        <w:t>The server issues a Firebase custom token or secure session cookie with server-derived role and permission claims.</w:t>
      </w:r>
    </w:p>
    <w:p>
      <w:pPr>
        <w:numPr>
          <w:ilvl w:val="0"/>
          <w:numId w:val="10"/>
        </w:numPr>
        <w:spacing w:after="80"/>
      </w:pPr>
      <w:r>
        <w:t>The browser signs in with Firebase Auth; the existing AuthContext exposes the same user shape to current pages through a compatibility adapter.</w:t>
      </w:r>
    </w:p>
    <w:p>
      <w:pPr>
        <w:numPr>
          <w:ilvl w:val="0"/>
          <w:numId w:val="10"/>
        </w:numPr>
        <w:spacing w:after="80"/>
      </w:pPr>
      <w:r>
        <w:t>Middleware and API guards verify the token/cookie on every protected request; Firestore and Storage rules evaluate the same canonical identity and claims.</w:t>
      </w:r>
    </w:p>
    <w:p>
      <w:pPr>
        <w:numPr>
          <w:ilvl w:val="0"/>
          <w:numId w:val="10"/>
        </w:numPr>
        <w:spacing w:after="80"/>
      </w:pPr>
      <w:r>
        <w:t>Authorization, validation, rate limits and idempotency are applied before any database, file, provider, or financial side effect.</w:t>
      </w:r>
    </w:p>
    <w:p>
      <w:pPr>
        <w:pStyle w:val="Heading2"/>
      </w:pPr>
      <w:r>
        <w:t>Webhook and scheduled-job request</w:t>
      </w:r>
    </w:p>
    <w:p>
      <w:pPr>
        <w:numPr>
          <w:ilvl w:val="0"/>
          <w:numId w:val="10"/>
        </w:numPr>
        <w:spacing w:after="80"/>
      </w:pPr>
      <w:r>
        <w:t>The ingress rejects missing credentials: cryptographic SchoolPay signature for webhooks; Authorization: Bearer for scheduled jobs.</w:t>
      </w:r>
    </w:p>
    <w:p>
      <w:pPr>
        <w:numPr>
          <w:ilvl w:val="0"/>
          <w:numId w:val="10"/>
        </w:numPr>
        <w:spacing w:after="80"/>
      </w:pPr>
      <w:r>
        <w:t>The server verifies timestamp freshness and records an event/job idempotency key before processing.</w:t>
      </w:r>
    </w:p>
    <w:p>
      <w:pPr>
        <w:numPr>
          <w:ilvl w:val="0"/>
          <w:numId w:val="10"/>
        </w:numPr>
        <w:spacing w:after="80"/>
      </w:pPr>
      <w:r>
        <w:t>A transaction or lease ensures only one worker performs the side effect.</w:t>
      </w:r>
    </w:p>
    <w:p>
      <w:pPr>
        <w:numPr>
          <w:ilvl w:val="0"/>
          <w:numId w:val="10"/>
        </w:numPr>
        <w:spacing w:after="80"/>
      </w:pPr>
      <w:r>
        <w:t>The provider response is validated semantically, not only by HTTP status; the database records pending, sent, delivered, or failed separately.</w:t>
      </w:r>
    </w:p>
    <w:p>
      <w:pPr>
        <w:numPr>
          <w:ilvl w:val="0"/>
          <w:numId w:val="10"/>
        </w:numPr>
        <w:spacing w:after="80"/>
      </w:pPr>
      <w:r>
        <w:t>Retries use backoff and the same idempotency key; audit logs exclude secrets and sensitive payloads.</w:t>
      </w:r>
    </w:p>
    <w:p>
      <w:pPr>
        <w:pStyle w:val="Heading1"/>
      </w:pPr>
      <w:r>
        <w:t>Phase gate summary</w:t>
      </w:r>
    </w:p>
    <w:tbl>
      <w:tblPr>
        <w:tblStyle w:val="TableGrid"/>
        <w:tblW w:type="dxa" w:w="9360"/>
        <w:jc w:val="center"/>
        <w:tblLayout w:type="fixed"/>
        <w:tblLook w:firstColumn="1" w:firstRow="1" w:lastColumn="0" w:lastRow="0" w:noHBand="0" w:noVBand="1" w:val="04A0"/>
        <w:tblInd w:w="120" w:type="dxa"/>
      </w:tblPr>
      <w:tblGrid>
        <w:gridCol w:w="2376"/>
        <w:gridCol w:w="6984"/>
      </w:tblGrid>
      <w:tr>
        <w:trPr>
          <w:tblHeader w:val="true"/>
        </w:trPr>
        <w:tc>
          <w:tcPr>
            <w:tcW w:type="dxa" w:w="237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Phase</w:t>
            </w:r>
          </w:p>
        </w:tc>
        <w:tc>
          <w:tcPr>
            <w:tcW w:type="dxa" w:w="6984"/>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Exit gate</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0 — Safety net</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Backups restored in staging; critical smoke suite passes on a known-good tag.</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1 — Containment</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Credentials rotated; setup path inaccessible; public costly/destructive calls rejected.</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2 — Authentication</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Trusted Firebase identity works while current screens and user workflows remain unchanged.</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3 — Identity/permissions</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Canonical users and permission registry produce equivalent access decisions.</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4 — Rules</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Emulator rules tests pass and staged users have no unintended denials or grants.</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5 — Server boundaries</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Every route has an explicit caller policy; webhook/cron/SMS replay tests pass.</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6 — Data safety</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No sample financial data, unsafe HTML, or non-transactional critical update remains.</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7 — Quality</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Type/lint/test/audit gates are enforced and no bypass remains.</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8 — Feature repair</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Notifications and file flows report real outcomes and enforce authorization.</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9 — Performance</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Role-aware loading meets budgets without changing visible workflow behavior.</w:t>
            </w:r>
          </w:p>
        </w:tc>
      </w:tr>
      <w:tr>
        <w:tc>
          <w:tcPr>
            <w:tcW w:type="dxa" w:w="2376"/>
            <w:tcMar>
              <w:top w:w="80" w:type="dxa"/>
              <w:start w:w="120" w:type="dxa"/>
              <w:bottom w:w="80" w:type="dxa"/>
              <w:end w:w="120" w:type="dxa"/>
            </w:tcMar>
            <w:vAlign w:val="center"/>
          </w:tcPr>
          <w:p>
            <w:pPr>
              <w:spacing w:after="40" w:before="0" w:line="252" w:lineRule="auto"/>
            </w:pPr>
            <w:r>
              <w:rPr>
                <w:rFonts w:ascii="Calibri" w:hAnsi="Calibri"/>
                <w:sz w:val="17"/>
              </w:rPr>
              <w:t>10 — Cleanup/release</w:t>
            </w:r>
          </w:p>
        </w:tc>
        <w:tc>
          <w:tcPr>
            <w:tcW w:type="dxa" w:w="6984"/>
            <w:tcMar>
              <w:top w:w="80" w:type="dxa"/>
              <w:start w:w="120" w:type="dxa"/>
              <w:bottom w:w="80" w:type="dxa"/>
              <w:end w:w="120" w:type="dxa"/>
            </w:tcMar>
            <w:vAlign w:val="center"/>
          </w:tcPr>
          <w:p>
            <w:pPr>
              <w:spacing w:after="40" w:before="0" w:line="252" w:lineRule="auto"/>
            </w:pPr>
            <w:r>
              <w:rPr>
                <w:rFonts w:ascii="Calibri" w:hAnsi="Calibri"/>
                <w:sz w:val="17"/>
              </w:rPr>
              <w:t>Deployment architecture is singular, rollback rehearsed, and production checklist passes.</w:t>
            </w:r>
          </w:p>
        </w:tc>
      </w:tr>
    </w:tbl>
    <w:p>
      <w:pPr>
        <w:spacing w:after="0"/>
      </w:pPr>
    </w:p>
    <w:p>
      <w:pPr>
        <w:pStyle w:val="Heading1"/>
      </w:pPr>
      <w:r>
        <w:t>Phase 0 — Establish a reversible safety net</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 — prerequisite</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1–2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Technical lead + operations</w:t>
            </w:r>
          </w:p>
        </w:tc>
      </w:tr>
    </w:tbl>
    <w:p>
      <w:pPr>
        <w:spacing w:after="0"/>
      </w:pPr>
    </w:p>
    <w:p>
      <w:pPr>
        <w:spacing w:after="100"/>
      </w:pPr>
      <w:r>
        <w:rPr>
          <w:b/>
          <w:color w:val="1F4D78"/>
        </w:rPr>
        <w:t xml:space="preserve">Problem: </w:t>
      </w:r>
      <w:r>
        <w:t>The repository is already dirty and the application lacks reliable automated regression gates. Security work will touch authentication, rules, integrations, and cached data; a mistake can lock users out or corrupt records.</w:t>
      </w:r>
    </w:p>
    <w:p>
      <w:pPr>
        <w:spacing w:after="100"/>
      </w:pPr>
      <w:r>
        <w:rPr>
          <w:b/>
          <w:color w:val="1F4D78"/>
        </w:rPr>
        <w:t xml:space="preserve">Risk: </w:t>
      </w:r>
      <w:r>
        <w:t>Without a checkpoint, verified backup, isolated staging project, and workflow baseline, the team may be unable to distinguish a new regression from an existing defect or restore production quickly.</w:t>
      </w:r>
    </w:p>
    <w:p>
      <w:pPr>
        <w:pStyle w:val="Heading2"/>
      </w:pPr>
      <w:r>
        <w:t>Implementation flow</w:t>
      </w:r>
    </w:p>
    <w:p>
      <w:pPr>
        <w:numPr>
          <w:ilvl w:val="0"/>
          <w:numId w:val="10"/>
        </w:numPr>
        <w:spacing w:after="80"/>
      </w:pPr>
      <w:r>
        <w:t>Inventory the current 56 working-tree changes and assign each to its owner. Do not discard, reset, or mix them with remediation changes.</w:t>
      </w:r>
    </w:p>
    <w:p>
      <w:pPr>
        <w:numPr>
          <w:ilvl w:val="0"/>
          <w:numId w:val="10"/>
        </w:numPr>
        <w:spacing w:after="80"/>
      </w:pPr>
      <w:r>
        <w:t>Create a protected production tag and a separate codex/production-safety branch from the exact deployed commit—not from an unknown local state.</w:t>
      </w:r>
    </w:p>
    <w:p>
      <w:pPr>
        <w:numPr>
          <w:ilvl w:val="0"/>
          <w:numId w:val="10"/>
        </w:numPr>
        <w:spacing w:after="80"/>
      </w:pPr>
      <w:r>
        <w:t>Export Firestore, Storage and Firebase Authentication data using provider-supported backups. Record project id, backup time, encryption/access location, retention, and restore command.</w:t>
      </w:r>
    </w:p>
    <w:p>
      <w:pPr>
        <w:numPr>
          <w:ilvl w:val="0"/>
          <w:numId w:val="10"/>
        </w:numPr>
        <w:spacing w:after="80"/>
      </w:pPr>
      <w:r>
        <w:t>Create a separate staging Firebase project and Vercel environment with synthetic or anonymized data. Never point staging at production Firestore or provider accounts.</w:t>
      </w:r>
    </w:p>
    <w:p>
      <w:pPr>
        <w:numPr>
          <w:ilvl w:val="0"/>
          <w:numId w:val="10"/>
        </w:numPr>
        <w:spacing w:after="80"/>
      </w:pPr>
      <w:r>
        <w:t>Document the current login, role navigation, pupil management, staff management, fee posting, SchoolPay webhook, scheduled SMS, notification, photo upload/delete, reporting and logout flows.</w:t>
      </w:r>
    </w:p>
    <w:p>
      <w:pPr>
        <w:numPr>
          <w:ilvl w:val="0"/>
          <w:numId w:val="10"/>
        </w:numPr>
        <w:spacing w:after="80"/>
      </w:pPr>
      <w:r>
        <w:t>Automate the most critical flows as characterization tests. These tests initially preserve observable behavior; security assertions are added as controls are implemented.</w:t>
      </w:r>
    </w:p>
    <w:p>
      <w:pPr>
        <w:numPr>
          <w:ilvl w:val="0"/>
          <w:numId w:val="10"/>
        </w:numPr>
        <w:spacing w:after="80"/>
      </w:pPr>
      <w:r>
        <w:t>Perform a restore rehearsal into staging and time it. A backup that has never been restored is not a proven rollback mechanism.</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shd w:fill="EAF4E3"/>
            <w:tcMar>
              <w:top w:w="80" w:type="dxa"/>
              <w:start w:w="120" w:type="dxa"/>
              <w:bottom w:w="80" w:type="dxa"/>
              <w:end w:w="120" w:type="dxa"/>
            </w:tcMar>
            <w:vAlign w:val="center"/>
          </w:tcPr>
          <w:p>
            <w:pPr>
              <w:spacing w:after="40" w:before="0" w:line="252" w:lineRule="auto"/>
            </w:pPr>
            <w:r>
              <w:rPr>
                <w:rFonts w:ascii="Calibri" w:hAnsi="Calibri"/>
                <w:b/>
                <w:color w:val="38761D"/>
                <w:sz w:val="19"/>
              </w:rPr>
              <w:t>NON-BREAKING SAFEGUARD</w:t>
            </w:r>
          </w:p>
          <w:p>
            <w:pPr>
              <w:spacing w:after="40" w:line="252" w:lineRule="auto" w:before="0"/>
            </w:pPr>
            <w:r>
              <w:rPr>
                <w:rFonts w:ascii="Calibri" w:hAnsi="Calibri"/>
                <w:sz w:val="19"/>
              </w:rPr>
              <w:t>No production rules, schema, or authentication behavior changes in this phase. The goal is to make later changes observable and reversible.</w:t>
            </w:r>
          </w:p>
        </w:tc>
      </w:tr>
    </w:tbl>
    <w:p>
      <w:pPr>
        <w:spacing w:after="0"/>
      </w:pPr>
    </w:p>
    <w:p>
      <w:pPr>
        <w:pStyle w:val="Heading2"/>
      </w:pPr>
      <w:r>
        <w:t>Acceptance gate</w:t>
      </w:r>
    </w:p>
    <w:p>
      <w:pPr>
        <w:numPr>
          <w:ilvl w:val="0"/>
          <w:numId w:val="12"/>
        </w:numPr>
        <w:spacing w:after="80"/>
      </w:pPr>
      <w:r>
        <w:t>Known deployed commit and production tag are recorded.</w:t>
      </w:r>
    </w:p>
    <w:p>
      <w:pPr>
        <w:numPr>
          <w:ilvl w:val="0"/>
          <w:numId w:val="12"/>
        </w:numPr>
        <w:spacing w:after="80"/>
      </w:pPr>
      <w:r>
        <w:t>Uncommitted user work is preserved and separated from remediation work.</w:t>
      </w:r>
    </w:p>
    <w:p>
      <w:pPr>
        <w:numPr>
          <w:ilvl w:val="0"/>
          <w:numId w:val="12"/>
        </w:numPr>
        <w:spacing w:after="80"/>
      </w:pPr>
      <w:r>
        <w:t>Firestore, Storage and Auth restore succeeds in staging.</w:t>
      </w:r>
    </w:p>
    <w:p>
      <w:pPr>
        <w:numPr>
          <w:ilvl w:val="0"/>
          <w:numId w:val="12"/>
        </w:numPr>
        <w:spacing w:after="80"/>
      </w:pPr>
      <w:r>
        <w:t>Critical workflow smoke suite passes against the current baseline.</w:t>
      </w:r>
    </w:p>
    <w:p>
      <w:pPr>
        <w:numPr>
          <w:ilvl w:val="0"/>
          <w:numId w:val="12"/>
        </w:numPr>
        <w:spacing w:after="80"/>
      </w:pPr>
      <w:r>
        <w:t>Named rollback owner and incident communication channel are documented.</w:t>
      </w:r>
    </w:p>
    <w:p>
      <w:pPr>
        <w:pStyle w:val="Heading1"/>
      </w:pPr>
      <w:r>
        <w:t>Phase 1 — Contain active exposure</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 — immediate</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1–2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Security owner + Firebase/Vercel administrator</w:t>
            </w:r>
          </w:p>
        </w:tc>
      </w:tr>
    </w:tbl>
    <w:p>
      <w:pPr>
        <w:spacing w:after="0"/>
      </w:pPr>
    </w:p>
    <w:p>
      <w:pPr>
        <w:spacing w:after="100"/>
      </w:pPr>
      <w:r>
        <w:rPr>
          <w:b/>
          <w:color w:val="1F4D78"/>
        </w:rPr>
        <w:t xml:space="preserve">Problem: </w:t>
      </w:r>
      <w:r>
        <w:t>Provider credential fallbacks exist in functions/index.js; the public admin setup page creates a privileged user with default-looking values; and chargeable or destructive endpoints lack a trustworthy caller check.</w:t>
      </w:r>
    </w:p>
    <w:p>
      <w:pPr>
        <w:spacing w:after="100"/>
      </w:pPr>
      <w:r>
        <w:rPr>
          <w:b/>
          <w:color w:val="1F4D78"/>
        </w:rPr>
        <w:t xml:space="preserve">Risk: </w:t>
      </w:r>
      <w:r>
        <w:t>An external caller can create an administrator, spend SMS balance, alter school data, upload/delete files, or reuse exposed credentials outside the application.</w:t>
      </w:r>
    </w:p>
    <w:p>
      <w:pPr>
        <w:pStyle w:val="Heading2"/>
      </w:pPr>
      <w:r>
        <w:t>Exact remediation flow</w:t>
      </w:r>
    </w:p>
    <w:p>
      <w:pPr>
        <w:numPr>
          <w:ilvl w:val="0"/>
          <w:numId w:val="10"/>
        </w:numPr>
        <w:spacing w:after="80"/>
      </w:pPr>
      <w:r>
        <w:t>Rotate every SMS/Wiza/provider credential found in source or deployment history. Revoke old values first where provider continuity allows; otherwise create new values, deploy them, verify, then revoke old values within the same maintenance window.</w:t>
      </w:r>
    </w:p>
    <w:p>
      <w:pPr>
        <w:numPr>
          <w:ilvl w:val="0"/>
          <w:numId w:val="10"/>
        </w:numPr>
        <w:spacing w:after="80"/>
      </w:pPr>
      <w:r>
        <w:t>Move secrets to server-only environment/secret storage. Remove all production-looking fallbacks from functions/index.js and fail startup or the individual operation when a required secret is absent.</w:t>
      </w:r>
    </w:p>
    <w:p>
      <w:pPr>
        <w:numPr>
          <w:ilvl w:val="0"/>
          <w:numId w:val="10"/>
        </w:numPr>
        <w:spacing w:after="80"/>
      </w:pPr>
      <w:r>
        <w:t>Search current files, Git history, build logs and deployment logs for the old values. Add secret scanning to CI and pre-commit guidance.</w:t>
      </w:r>
    </w:p>
    <w:p>
      <w:pPr>
        <w:numPr>
          <w:ilvl w:val="0"/>
          <w:numId w:val="10"/>
        </w:numPr>
        <w:spacing w:after="80"/>
      </w:pPr>
      <w:r>
        <w:t>Remove src/app/admin/setup/page.tsx from production routing or require a one-time server-side bootstrap token, allow-listed operator identity, audit log, and automatic permanent disable after use. Preferred production state: no browser-accessible bootstrap page.</w:t>
      </w:r>
    </w:p>
    <w:p>
      <w:pPr>
        <w:numPr>
          <w:ilvl w:val="0"/>
          <w:numId w:val="10"/>
        </w:numPr>
        <w:spacing w:after="80"/>
      </w:pPr>
      <w:r>
        <w:t>Add an emergency ingress guard to costly/destructive endpoints: verified bearer token for jobs, verified Firebase user plus admin permission for admin mutations, and provider signature for webhooks.</w:t>
      </w:r>
    </w:p>
    <w:p>
      <w:pPr>
        <w:numPr>
          <w:ilvl w:val="0"/>
          <w:numId w:val="10"/>
        </w:numPr>
        <w:spacing w:after="80"/>
      </w:pPr>
      <w:r>
        <w:t>Apply temporary per-IP/per-user limits to SMS, file generation/upload and bulk operations until the full shared guard layer is deployed.</w:t>
      </w:r>
    </w:p>
    <w:tbl>
      <w:tblPr>
        <w:tblStyle w:val="TableGrid"/>
        <w:tblW w:type="dxa" w:w="9360"/>
        <w:jc w:val="center"/>
        <w:tblLayout w:type="fixed"/>
        <w:tblLook w:firstColumn="1" w:firstRow="1" w:lastColumn="0" w:lastRow="0" w:noHBand="0" w:noVBand="1" w:val="04A0"/>
        <w:tblInd w:w="120" w:type="dxa"/>
      </w:tblPr>
      <w:tblGrid>
        <w:gridCol w:w="2304"/>
        <w:gridCol w:w="4320"/>
        <w:gridCol w:w="2736"/>
      </w:tblGrid>
      <w:tr>
        <w:trPr>
          <w:tblHeader w:val="true"/>
        </w:trPr>
        <w:tc>
          <w:tcPr>
            <w:tcW w:type="dxa" w:w="2304"/>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Change</w:t>
            </w:r>
          </w:p>
        </w:tc>
        <w:tc>
          <w:tcPr>
            <w:tcW w:type="dxa" w:w="432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Compatibility safeguard</w:t>
            </w:r>
          </w:p>
        </w:tc>
        <w:tc>
          <w:tcPr>
            <w:tcW w:type="dxa" w:w="2736"/>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Rollback</w:t>
            </w:r>
          </w:p>
        </w:tc>
      </w:tr>
      <w:tr>
        <w:tc>
          <w:tcPr>
            <w:tcW w:type="dxa" w:w="2304"/>
            <w:tcMar>
              <w:top w:w="80" w:type="dxa"/>
              <w:start w:w="120" w:type="dxa"/>
              <w:bottom w:w="80" w:type="dxa"/>
              <w:end w:w="120" w:type="dxa"/>
            </w:tcMar>
            <w:vAlign w:val="center"/>
          </w:tcPr>
          <w:p>
            <w:pPr>
              <w:spacing w:after="40" w:before="0" w:line="252" w:lineRule="auto"/>
            </w:pPr>
            <w:r>
              <w:rPr>
                <w:rFonts w:ascii="Calibri" w:hAnsi="Calibri"/>
                <w:sz w:val="16"/>
              </w:rPr>
              <w:t>Secret rotation</w:t>
            </w:r>
          </w:p>
        </w:tc>
        <w:tc>
          <w:tcPr>
            <w:tcW w:type="dxa" w:w="4320"/>
            <w:tcMar>
              <w:top w:w="80" w:type="dxa"/>
              <w:start w:w="120" w:type="dxa"/>
              <w:bottom w:w="80" w:type="dxa"/>
              <w:end w:w="120" w:type="dxa"/>
            </w:tcMar>
            <w:vAlign w:val="center"/>
          </w:tcPr>
          <w:p>
            <w:pPr>
              <w:spacing w:after="40" w:before="0" w:line="252" w:lineRule="auto"/>
            </w:pPr>
            <w:r>
              <w:rPr>
                <w:rFonts w:ascii="Calibri" w:hAnsi="Calibri"/>
                <w:sz w:val="16"/>
              </w:rPr>
              <w:t>Deploy new secret and health-check provider before revoking old value.</w:t>
            </w:r>
          </w:p>
        </w:tc>
        <w:tc>
          <w:tcPr>
            <w:tcW w:type="dxa" w:w="2736"/>
            <w:tcMar>
              <w:top w:w="80" w:type="dxa"/>
              <w:start w:w="120" w:type="dxa"/>
              <w:bottom w:w="80" w:type="dxa"/>
              <w:end w:w="120" w:type="dxa"/>
            </w:tcMar>
            <w:vAlign w:val="center"/>
          </w:tcPr>
          <w:p>
            <w:pPr>
              <w:spacing w:after="40" w:before="0" w:line="252" w:lineRule="auto"/>
            </w:pPr>
            <w:r>
              <w:rPr>
                <w:rFonts w:ascii="Calibri" w:hAnsi="Calibri"/>
                <w:sz w:val="16"/>
              </w:rPr>
              <w:t>Restore old secret only if it is still valid and no compromise is suspected; otherwise escalate to provider.</w:t>
            </w:r>
          </w:p>
        </w:tc>
      </w:tr>
      <w:tr>
        <w:tc>
          <w:tcPr>
            <w:tcW w:type="dxa" w:w="2304"/>
            <w:tcMar>
              <w:top w:w="80" w:type="dxa"/>
              <w:start w:w="120" w:type="dxa"/>
              <w:bottom w:w="80" w:type="dxa"/>
              <w:end w:w="120" w:type="dxa"/>
            </w:tcMar>
            <w:vAlign w:val="center"/>
          </w:tcPr>
          <w:p>
            <w:pPr>
              <w:spacing w:after="40" w:before="0" w:line="252" w:lineRule="auto"/>
            </w:pPr>
            <w:r>
              <w:rPr>
                <w:rFonts w:ascii="Calibri" w:hAnsi="Calibri"/>
                <w:sz w:val="16"/>
              </w:rPr>
              <w:t>Setup-page removal</w:t>
            </w:r>
          </w:p>
        </w:tc>
        <w:tc>
          <w:tcPr>
            <w:tcW w:type="dxa" w:w="4320"/>
            <w:tcMar>
              <w:top w:w="80" w:type="dxa"/>
              <w:start w:w="120" w:type="dxa"/>
              <w:bottom w:w="80" w:type="dxa"/>
              <w:end w:w="120" w:type="dxa"/>
            </w:tcMar>
            <w:vAlign w:val="center"/>
          </w:tcPr>
          <w:p>
            <w:pPr>
              <w:spacing w:after="40" w:before="0" w:line="252" w:lineRule="auto"/>
            </w:pPr>
            <w:r>
              <w:rPr>
                <w:rFonts w:ascii="Calibri" w:hAnsi="Calibri"/>
                <w:sz w:val="16"/>
              </w:rPr>
              <w:t>Pre-create the required admin in Firebase Admin tooling and verify login before route removal.</w:t>
            </w:r>
          </w:p>
        </w:tc>
        <w:tc>
          <w:tcPr>
            <w:tcW w:type="dxa" w:w="2736"/>
            <w:tcMar>
              <w:top w:w="80" w:type="dxa"/>
              <w:start w:w="120" w:type="dxa"/>
              <w:bottom w:w="80" w:type="dxa"/>
              <w:end w:w="120" w:type="dxa"/>
            </w:tcMar>
            <w:vAlign w:val="center"/>
          </w:tcPr>
          <w:p>
            <w:pPr>
              <w:spacing w:after="40" w:before="0" w:line="252" w:lineRule="auto"/>
            </w:pPr>
            <w:r>
              <w:rPr>
                <w:rFonts w:ascii="Calibri" w:hAnsi="Calibri"/>
                <w:sz w:val="16"/>
              </w:rPr>
              <w:t>Temporarily re-enable only in staging; never restore a public production bootstrap.</w:t>
            </w:r>
          </w:p>
        </w:tc>
      </w:tr>
      <w:tr>
        <w:tc>
          <w:tcPr>
            <w:tcW w:type="dxa" w:w="2304"/>
            <w:tcMar>
              <w:top w:w="80" w:type="dxa"/>
              <w:start w:w="120" w:type="dxa"/>
              <w:bottom w:w="80" w:type="dxa"/>
              <w:end w:w="120" w:type="dxa"/>
            </w:tcMar>
            <w:vAlign w:val="center"/>
          </w:tcPr>
          <w:p>
            <w:pPr>
              <w:spacing w:after="40" w:before="0" w:line="252" w:lineRule="auto"/>
            </w:pPr>
            <w:r>
              <w:rPr>
                <w:rFonts w:ascii="Calibri" w:hAnsi="Calibri"/>
                <w:sz w:val="16"/>
              </w:rPr>
              <w:t>Emergency endpoint guard</w:t>
            </w:r>
          </w:p>
        </w:tc>
        <w:tc>
          <w:tcPr>
            <w:tcW w:type="dxa" w:w="4320"/>
            <w:tcMar>
              <w:top w:w="80" w:type="dxa"/>
              <w:start w:w="120" w:type="dxa"/>
              <w:bottom w:w="80" w:type="dxa"/>
              <w:end w:w="120" w:type="dxa"/>
            </w:tcMar>
            <w:vAlign w:val="center"/>
          </w:tcPr>
          <w:p>
            <w:pPr>
              <w:spacing w:after="40" w:before="0" w:line="252" w:lineRule="auto"/>
            </w:pPr>
            <w:r>
              <w:rPr>
                <w:rFonts w:ascii="Calibri" w:hAnsi="Calibri"/>
                <w:sz w:val="16"/>
              </w:rPr>
              <w:t>Start in monitor mode for known internal callers, then enforce after caller inventory.</w:t>
            </w:r>
          </w:p>
        </w:tc>
        <w:tc>
          <w:tcPr>
            <w:tcW w:type="dxa" w:w="2736"/>
            <w:tcMar>
              <w:top w:w="80" w:type="dxa"/>
              <w:start w:w="120" w:type="dxa"/>
              <w:bottom w:w="80" w:type="dxa"/>
              <w:end w:w="120" w:type="dxa"/>
            </w:tcMar>
            <w:vAlign w:val="center"/>
          </w:tcPr>
          <w:p>
            <w:pPr>
              <w:spacing w:after="40" w:before="0" w:line="252" w:lineRule="auto"/>
            </w:pPr>
            <w:r>
              <w:rPr>
                <w:rFonts w:ascii="Calibri" w:hAnsi="Calibri"/>
                <w:sz w:val="16"/>
              </w:rPr>
              <w:t>Feature-flag enforcement off only for a short incident window with audit logging.</w:t>
            </w:r>
          </w:p>
        </w:tc>
      </w:tr>
    </w:tbl>
    <w:p>
      <w:pPr>
        <w:spacing w:after="0"/>
      </w:pPr>
    </w:p>
    <w:p>
      <w:pPr>
        <w:pStyle w:val="Heading2"/>
      </w:pPr>
      <w:r>
        <w:t>Acceptance gate</w:t>
      </w:r>
    </w:p>
    <w:p>
      <w:pPr>
        <w:numPr>
          <w:ilvl w:val="0"/>
          <w:numId w:val="12"/>
        </w:numPr>
        <w:spacing w:after="80"/>
      </w:pPr>
      <w:r>
        <w:t>Old provider credentials are revoked and cannot authenticate.</w:t>
      </w:r>
    </w:p>
    <w:p>
      <w:pPr>
        <w:numPr>
          <w:ilvl w:val="0"/>
          <w:numId w:val="12"/>
        </w:numPr>
        <w:spacing w:after="80"/>
      </w:pPr>
      <w:r>
        <w:t>Repository and runtime contain no production secret fallback.</w:t>
      </w:r>
    </w:p>
    <w:p>
      <w:pPr>
        <w:numPr>
          <w:ilvl w:val="0"/>
          <w:numId w:val="12"/>
        </w:numPr>
        <w:spacing w:after="80"/>
      </w:pPr>
      <w:r>
        <w:t>Unauthenticated access to admin setup, bulk SMS, recharge, uploads, deletes and mutations returns 401/403 before side effects.</w:t>
      </w:r>
    </w:p>
    <w:p>
      <w:pPr>
        <w:numPr>
          <w:ilvl w:val="0"/>
          <w:numId w:val="12"/>
        </w:numPr>
        <w:spacing w:after="80"/>
      </w:pPr>
      <w:r>
        <w:t>Authorized production provider smoke calls succeed with the new credentials.</w:t>
      </w:r>
    </w:p>
    <w:p>
      <w:pPr>
        <w:pStyle w:val="Heading1"/>
      </w:pPr>
      <w:r>
        <w:t>Phase 2 — Replace forgeable browser authentication with a server-backed bridge</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 — critical dependency</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3–5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Application security + frontend lead</w:t>
            </w:r>
          </w:p>
        </w:tc>
      </w:tr>
    </w:tbl>
    <w:p>
      <w:pPr>
        <w:spacing w:after="0"/>
      </w:pPr>
    </w:p>
    <w:p>
      <w:pPr>
        <w:spacing w:after="100"/>
      </w:pPr>
      <w:r>
        <w:rPr>
          <w:b/>
          <w:color w:val="1F4D78"/>
        </w:rPr>
        <w:t xml:space="preserve">Problem: </w:t>
      </w:r>
      <w:r>
        <w:t>users.service.ts performs custom browser authentication and uses a fixed-salt Base64 password representation. auth-context.tsx restores a cached user object from localStorage indefinitely. That object is not proof that Firebase or the server authenticated the person.</w:t>
      </w:r>
    </w:p>
    <w:p>
      <w:pPr>
        <w:spacing w:after="100"/>
      </w:pPr>
      <w:r>
        <w:rPr>
          <w:b/>
          <w:color w:val="1F4D78"/>
        </w:rPr>
        <w:t xml:space="preserve">Risk: </w:t>
      </w:r>
      <w:r>
        <w:t>A user can alter browser storage or application state to impersonate a role. Password disclosure is far more damaging because the representation is not a modern slow, salted password hash. Restrictive rules cannot rely on this identity.</w:t>
      </w:r>
    </w:p>
    <w:p>
      <w:pPr>
        <w:pStyle w:val="Heading2"/>
      </w:pPr>
      <w:r>
        <w:t>Safe bridge design</w:t>
      </w:r>
    </w:p>
    <w:tbl>
      <w:tblPr>
        <w:tblStyle w:val="TableGrid"/>
        <w:tblW w:type="dxa" w:w="9360"/>
        <w:jc w:val="center"/>
        <w:tblLayout w:type="fixed"/>
        <w:tblLook w:firstColumn="1" w:firstRow="1" w:lastColumn="0" w:lastRow="0" w:noHBand="0" w:noVBand="1" w:val="04A0"/>
        <w:tblInd w:w="120" w:type="dxa"/>
      </w:tblPr>
      <w:tblGrid>
        <w:gridCol w:w="3456"/>
        <w:gridCol w:w="5904"/>
      </w:tblGrid>
      <w:tr>
        <w:trPr>
          <w:tblHeader w:val="true"/>
        </w:trPr>
        <w:tc>
          <w:tcPr>
            <w:tcW w:type="dxa" w:w="345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Existing contract to preserve</w:t>
            </w:r>
          </w:p>
        </w:tc>
        <w:tc>
          <w:tcPr>
            <w:tcW w:type="dxa" w:w="5904"/>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New secure implementation behind it</w:t>
            </w:r>
          </w:p>
        </w:tc>
      </w:tr>
      <w:tr>
        <w:tc>
          <w:tcPr>
            <w:tcW w:type="dxa" w:w="3456"/>
            <w:tcMar>
              <w:top w:w="80" w:type="dxa"/>
              <w:start w:w="120" w:type="dxa"/>
              <w:bottom w:w="80" w:type="dxa"/>
              <w:end w:w="120" w:type="dxa"/>
            </w:tcMar>
            <w:vAlign w:val="center"/>
          </w:tcPr>
          <w:p>
            <w:pPr>
              <w:spacing w:after="40" w:before="0" w:line="252" w:lineRule="auto"/>
            </w:pPr>
            <w:r>
              <w:rPr>
                <w:rFonts w:ascii="Calibri" w:hAnsi="Calibri"/>
                <w:sz w:val="17"/>
              </w:rPr>
              <w:t>AuthContext.login(username, password)</w:t>
            </w:r>
          </w:p>
        </w:tc>
        <w:tc>
          <w:tcPr>
            <w:tcW w:type="dxa" w:w="5904"/>
            <w:tcMar>
              <w:top w:w="80" w:type="dxa"/>
              <w:start w:w="120" w:type="dxa"/>
              <w:bottom w:w="80" w:type="dxa"/>
              <w:end w:w="120" w:type="dxa"/>
            </w:tcMar>
            <w:vAlign w:val="center"/>
          </w:tcPr>
          <w:p>
            <w:pPr>
              <w:spacing w:after="40" w:before="0" w:line="252" w:lineRule="auto"/>
            </w:pPr>
            <w:r>
              <w:rPr>
                <w:rFonts w:ascii="Calibri" w:hAnsi="Calibri"/>
                <w:sz w:val="17"/>
              </w:rPr>
              <w:t>POST credentials to a server-only login endpoint; never query password material from the browser.</w:t>
            </w:r>
          </w:p>
        </w:tc>
      </w:tr>
      <w:tr>
        <w:tc>
          <w:tcPr>
            <w:tcW w:type="dxa" w:w="3456"/>
            <w:tcMar>
              <w:top w:w="80" w:type="dxa"/>
              <w:start w:w="120" w:type="dxa"/>
              <w:bottom w:w="80" w:type="dxa"/>
              <w:end w:w="120" w:type="dxa"/>
            </w:tcMar>
            <w:vAlign w:val="center"/>
          </w:tcPr>
          <w:p>
            <w:pPr>
              <w:spacing w:after="40" w:before="0" w:line="252" w:lineRule="auto"/>
            </w:pPr>
            <w:r>
              <w:rPr>
                <w:rFonts w:ascii="Calibri" w:hAnsi="Calibri"/>
                <w:sz w:val="17"/>
              </w:rPr>
              <w:t>SystemUser-shaped currentUser</w:t>
            </w:r>
          </w:p>
        </w:tc>
        <w:tc>
          <w:tcPr>
            <w:tcW w:type="dxa" w:w="5904"/>
            <w:tcMar>
              <w:top w:w="80" w:type="dxa"/>
              <w:start w:w="120" w:type="dxa"/>
              <w:bottom w:w="80" w:type="dxa"/>
              <w:end w:w="120" w:type="dxa"/>
            </w:tcMar>
            <w:vAlign w:val="center"/>
          </w:tcPr>
          <w:p>
            <w:pPr>
              <w:spacing w:after="40" w:before="0" w:line="252" w:lineRule="auto"/>
            </w:pPr>
            <w:r>
              <w:rPr>
                <w:rFonts w:ascii="Calibri" w:hAnsi="Calibri"/>
                <w:sz w:val="17"/>
              </w:rPr>
              <w:t>Map canonical users/{uid} to the existing shape through toSystemUser() so pages do not need a simultaneous rewrite.</w:t>
            </w:r>
          </w:p>
        </w:tc>
      </w:tr>
      <w:tr>
        <w:tc>
          <w:tcPr>
            <w:tcW w:type="dxa" w:w="3456"/>
            <w:tcMar>
              <w:top w:w="80" w:type="dxa"/>
              <w:start w:w="120" w:type="dxa"/>
              <w:bottom w:w="80" w:type="dxa"/>
              <w:end w:w="120" w:type="dxa"/>
            </w:tcMar>
            <w:vAlign w:val="center"/>
          </w:tcPr>
          <w:p>
            <w:pPr>
              <w:spacing w:after="40" w:before="0" w:line="252" w:lineRule="auto"/>
            </w:pPr>
            <w:r>
              <w:rPr>
                <w:rFonts w:ascii="Calibri" w:hAnsi="Calibri"/>
                <w:sz w:val="17"/>
              </w:rPr>
              <w:t>Existing permission checks</w:t>
            </w:r>
          </w:p>
        </w:tc>
        <w:tc>
          <w:tcPr>
            <w:tcW w:type="dxa" w:w="5904"/>
            <w:tcMar>
              <w:top w:w="80" w:type="dxa"/>
              <w:start w:w="120" w:type="dxa"/>
              <w:bottom w:w="80" w:type="dxa"/>
              <w:end w:w="120" w:type="dxa"/>
            </w:tcMar>
            <w:vAlign w:val="center"/>
          </w:tcPr>
          <w:p>
            <w:pPr>
              <w:spacing w:after="40" w:before="0" w:line="252" w:lineRule="auto"/>
            </w:pPr>
            <w:r>
              <w:rPr>
                <w:rFonts w:ascii="Calibri" w:hAnsi="Calibri"/>
                <w:sz w:val="17"/>
              </w:rPr>
              <w:t>Resolve permissions server-side into trusted claims and mirror them through a compatibility adapter.</w:t>
            </w:r>
          </w:p>
        </w:tc>
      </w:tr>
      <w:tr>
        <w:tc>
          <w:tcPr>
            <w:tcW w:type="dxa" w:w="3456"/>
            <w:tcMar>
              <w:top w:w="80" w:type="dxa"/>
              <w:start w:w="120" w:type="dxa"/>
              <w:bottom w:w="80" w:type="dxa"/>
              <w:end w:w="120" w:type="dxa"/>
            </w:tcMar>
            <w:vAlign w:val="center"/>
          </w:tcPr>
          <w:p>
            <w:pPr>
              <w:spacing w:after="40" w:before="0" w:line="252" w:lineRule="auto"/>
            </w:pPr>
            <w:r>
              <w:rPr>
                <w:rFonts w:ascii="Calibri" w:hAnsi="Calibri"/>
                <w:sz w:val="17"/>
              </w:rPr>
              <w:t>Existing logout button</w:t>
            </w:r>
          </w:p>
        </w:tc>
        <w:tc>
          <w:tcPr>
            <w:tcW w:type="dxa" w:w="5904"/>
            <w:tcMar>
              <w:top w:w="80" w:type="dxa"/>
              <w:start w:w="120" w:type="dxa"/>
              <w:bottom w:w="80" w:type="dxa"/>
              <w:end w:w="120" w:type="dxa"/>
            </w:tcMar>
            <w:vAlign w:val="center"/>
          </w:tcPr>
          <w:p>
            <w:pPr>
              <w:spacing w:after="40" w:before="0" w:line="252" w:lineRule="auto"/>
            </w:pPr>
            <w:r>
              <w:rPr>
                <w:rFonts w:ascii="Calibri" w:hAnsi="Calibri"/>
                <w:sz w:val="17"/>
              </w:rPr>
              <w:t>Revoke/clear session, Firebase sign-out, local query cache clear, and Firestore persistence/cache handling.</w:t>
            </w:r>
          </w:p>
        </w:tc>
      </w:tr>
    </w:tbl>
    <w:p>
      <w:pPr>
        <w:spacing w:after="0"/>
      </w:pPr>
    </w:p>
    <w:p>
      <w:pPr>
        <w:pStyle w:val="Heading2"/>
      </w:pPr>
      <w:r>
        <w:t>Implementation flow</w:t>
      </w:r>
    </w:p>
    <w:p>
      <w:pPr>
        <w:numPr>
          <w:ilvl w:val="0"/>
          <w:numId w:val="10"/>
        </w:numPr>
        <w:spacing w:after="80"/>
      </w:pPr>
      <w:r>
        <w:t>Define a server-only login endpoint with Zod validation, generic error messages, rate limiting, account status checks, and structured security logging without passwords.</w:t>
      </w:r>
    </w:p>
    <w:p>
      <w:pPr>
        <w:numPr>
          <w:ilvl w:val="0"/>
          <w:numId w:val="10"/>
        </w:numPr>
        <w:spacing w:after="80"/>
      </w:pPr>
      <w:r>
        <w:t>For users already in Firebase Authentication, verify through the supported Firebase flow. For a legacy system_users account, perform the legacy comparison only on the server and only during a time-limited migration period.</w:t>
      </w:r>
    </w:p>
    <w:p>
      <w:pPr>
        <w:numPr>
          <w:ilvl w:val="0"/>
          <w:numId w:val="10"/>
        </w:numPr>
        <w:spacing w:after="80"/>
      </w:pPr>
      <w:r>
        <w:t>Create or resolve a Firebase UID and canonical users/{uid} record. Server-derived role, access level and permissions become the only authorization source.</w:t>
      </w:r>
    </w:p>
    <w:p>
      <w:pPr>
        <w:numPr>
          <w:ilvl w:val="0"/>
          <w:numId w:val="10"/>
        </w:numPr>
        <w:spacing w:after="80"/>
      </w:pPr>
      <w:r>
        <w:t>Issue a Firebase custom token for browser sign-in or an HttpOnly, Secure, SameSite session cookie. Prefer a short idle lifetime, bounded absolute lifetime, and revocation on disable/password reset.</w:t>
      </w:r>
    </w:p>
    <w:p>
      <w:pPr>
        <w:numPr>
          <w:ilvl w:val="0"/>
          <w:numId w:val="10"/>
        </w:numPr>
        <w:spacing w:after="80"/>
      </w:pPr>
      <w:r>
        <w:t>In AuthContext, keep the public login and currentUser interface stable, but derive authentication state from Firebase onAuthStateChanged and a verified server profile response—not from localStorage.</w:t>
      </w:r>
    </w:p>
    <w:p>
      <w:pPr>
        <w:numPr>
          <w:ilvl w:val="0"/>
          <w:numId w:val="10"/>
        </w:numPr>
        <w:spacing w:after="80"/>
      </w:pPr>
      <w:r>
        <w:t>Temporarily read the old cached user only to display a migration/loading message; never grant access from it. Delete the cache after the first secure session.</w:t>
      </w:r>
    </w:p>
    <w:p>
      <w:pPr>
        <w:numPr>
          <w:ilvl w:val="0"/>
          <w:numId w:val="10"/>
        </w:numPr>
        <w:spacing w:after="80"/>
      </w:pPr>
      <w:r>
        <w:t>On first successful legacy login, require password reset or re-hash with a modern algorithm. Track migratedAt and legacyAuthDisabled fields; do not retain reversible password material after completion.</w:t>
      </w:r>
    </w:p>
    <w:p>
      <w:pPr>
        <w:numPr>
          <w:ilvl w:val="0"/>
          <w:numId w:val="10"/>
        </w:numPr>
        <w:spacing w:after="80"/>
      </w:pPr>
      <w:r>
        <w:t>Add shared requireUser, requirePermission and requireAdmin server guards. Middleware may redirect for UX, but each API route must independently enforce authorization.</w:t>
      </w:r>
    </w:p>
    <w:p>
      <w:pPr>
        <w:numPr>
          <w:ilvl w:val="0"/>
          <w:numId w:val="10"/>
        </w:numPr>
        <w:spacing w:after="80"/>
      </w:pPr>
      <w:r>
        <w:t>Roll out to internal administrators, then staff, then remaining users. Monitor login success, role parity, denials and session revocation before expanding each cohort.</w:t>
      </w:r>
    </w:p>
    <w:tbl>
      <w:tblPr>
        <w:tblStyle w:val="TableGrid"/>
        <w:tblW w:type="dxa" w:w="9360"/>
        <w:jc w:val="center"/>
        <w:tblLayout w:type="fixed"/>
        <w:tblLook w:firstColumn="1" w:firstRow="1" w:lastColumn="0" w:lastRow="0" w:noHBand="0" w:noVBand="1" w:val="04A0"/>
        <w:tblInd w:w="120" w:type="dxa"/>
      </w:tblPr>
      <w:tblGrid>
        <w:gridCol w:w="9360"/>
      </w:tblGrid>
      <w:tr>
        <w:trPr>
          <w:tblHeader w:val="true"/>
        </w:trPr>
        <w:tc>
          <w:tcPr>
            <w:tcW w:type="dxa" w:w="9360"/>
            <w:shd w:fill="FCE8E6"/>
            <w:tcMar>
              <w:top w:w="80" w:type="dxa"/>
              <w:start w:w="120" w:type="dxa"/>
              <w:bottom w:w="80" w:type="dxa"/>
              <w:end w:w="120" w:type="dxa"/>
            </w:tcMar>
            <w:vAlign w:val="center"/>
          </w:tcPr>
          <w:p>
            <w:pPr>
              <w:spacing w:after="40" w:before="0" w:line="252" w:lineRule="auto"/>
            </w:pPr>
            <w:r>
              <w:rPr>
                <w:rFonts w:ascii="Calibri" w:hAnsi="Calibri"/>
                <w:b/>
                <w:color w:val="C00000"/>
                <w:sz w:val="19"/>
              </w:rPr>
              <w:t>CRITICAL SEQUENCING RULE</w:t>
            </w:r>
          </w:p>
          <w:p>
            <w:pPr>
              <w:spacing w:after="40" w:line="252" w:lineRule="auto" w:before="0"/>
            </w:pPr>
            <w:r>
              <w:rPr>
                <w:rFonts w:ascii="Calibri" w:hAnsi="Calibri"/>
                <w:sz w:val="19"/>
              </w:rPr>
              <w:t>Do not tighten Firestore rules until this bridge can produce a verified Firebase identity for every active role. Authentication first; rules enforcement second.</w:t>
            </w:r>
          </w:p>
        </w:tc>
      </w:tr>
    </w:tbl>
    <w:p>
      <w:pPr>
        <w:spacing w:after="0"/>
      </w:pPr>
    </w:p>
    <w:p>
      <w:pPr>
        <w:pStyle w:val="Heading2"/>
      </w:pPr>
      <w:r>
        <w:t>Rollback</w:t>
      </w:r>
    </w:p>
    <w:p>
      <w:r>
        <w:t>Keep the compatibility adapter and legacy server verifier behind a short-lived feature flag. Roll back client traffic to the previous UI contract while keeping server verification enabled. Never roll back to browser-side password verification or trust localStorage as authentication.</w:t>
      </w:r>
    </w:p>
    <w:p>
      <w:pPr>
        <w:pStyle w:val="Heading2"/>
      </w:pPr>
      <w:r>
        <w:t>Acceptance gate</w:t>
      </w:r>
    </w:p>
    <w:p>
      <w:pPr>
        <w:numPr>
          <w:ilvl w:val="0"/>
          <w:numId w:val="12"/>
        </w:numPr>
        <w:spacing w:after="80"/>
      </w:pPr>
      <w:r>
        <w:t>Changing localStorage cannot create or elevate an authenticated session.</w:t>
      </w:r>
    </w:p>
    <w:p>
      <w:pPr>
        <w:numPr>
          <w:ilvl w:val="0"/>
          <w:numId w:val="12"/>
        </w:numPr>
        <w:spacing w:after="80"/>
      </w:pPr>
      <w:r>
        <w:t>Network responses never expose password representations or secret claims.</w:t>
      </w:r>
    </w:p>
    <w:p>
      <w:pPr>
        <w:numPr>
          <w:ilvl w:val="0"/>
          <w:numId w:val="12"/>
        </w:numPr>
        <w:spacing w:after="80"/>
      </w:pPr>
      <w:r>
        <w:t>Disabled users and revoked sessions lose access within the defined lifetime.</w:t>
      </w:r>
    </w:p>
    <w:p>
      <w:pPr>
        <w:numPr>
          <w:ilvl w:val="0"/>
          <w:numId w:val="12"/>
        </w:numPr>
        <w:spacing w:after="80"/>
      </w:pPr>
      <w:r>
        <w:t>Admin, staff and limited-role navigation matches the baseline for authorized actions.</w:t>
      </w:r>
    </w:p>
    <w:p>
      <w:pPr>
        <w:numPr>
          <w:ilvl w:val="0"/>
          <w:numId w:val="12"/>
        </w:numPr>
        <w:spacing w:after="80"/>
      </w:pPr>
      <w:r>
        <w:t>Logout clears the authenticated session and sensitive client caches.</w:t>
      </w:r>
    </w:p>
    <w:p>
      <w:pPr>
        <w:pStyle w:val="Heading1"/>
      </w:pPr>
      <w:r>
        <w:t>Phase 3 — Consolidate user records and permissions</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3–5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Backend/data lead</w:t>
            </w:r>
          </w:p>
        </w:tc>
      </w:tr>
    </w:tbl>
    <w:p>
      <w:pPr>
        <w:spacing w:after="0"/>
      </w:pPr>
    </w:p>
    <w:p>
      <w:pPr>
        <w:spacing w:after="100"/>
      </w:pPr>
      <w:r>
        <w:rPr>
          <w:b/>
          <w:color w:val="1F4D78"/>
        </w:rPr>
        <w:t xml:space="preserve">Problem: </w:t>
      </w:r>
      <w:r>
        <w:t>Identity is split between system_users and users. Storage rules expect a legacy modules shape while application types also use modulePermissions and granularPermissions. Different paths can reach different authorization decisions.</w:t>
      </w:r>
    </w:p>
    <w:p>
      <w:pPr>
        <w:spacing w:after="100"/>
      </w:pPr>
      <w:r>
        <w:rPr>
          <w:b/>
          <w:color w:val="1F4D78"/>
        </w:rPr>
        <w:t xml:space="preserve">Risk: </w:t>
      </w:r>
      <w:r>
        <w:t>A permission removed in one location may remain effective elsewhere; users can be locked out or accidentally over-privileged; audits cannot identify the authoritative record.</w:t>
      </w:r>
    </w:p>
    <w:p>
      <w:pPr>
        <w:pStyle w:val="Heading2"/>
      </w:pPr>
      <w:r>
        <w:t>Canonical model</w:t>
      </w:r>
    </w:p>
    <w:tbl>
      <w:tblPr>
        <w:tblStyle w:val="TableGrid"/>
        <w:tblW w:type="dxa" w:w="9360"/>
        <w:jc w:val="center"/>
        <w:tblLayout w:type="fixed"/>
        <w:tblLook w:firstColumn="1" w:firstRow="1" w:lastColumn="0" w:lastRow="0" w:noHBand="0" w:noVBand="1" w:val="04A0"/>
        <w:tblInd w:w="120" w:type="dxa"/>
      </w:tblPr>
      <w:tblGrid>
        <w:gridCol w:w="2448"/>
        <w:gridCol w:w="6912"/>
      </w:tblGrid>
      <w:tr>
        <w:trPr>
          <w:tblHeader w:val="true"/>
        </w:trPr>
        <w:tc>
          <w:tcPr>
            <w:tcW w:type="dxa" w:w="2448"/>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Concern</w:t>
            </w:r>
          </w:p>
        </w:tc>
        <w:tc>
          <w:tcPr>
            <w:tcW w:type="dxa" w:w="6912"/>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Canonical decision</w:t>
            </w:r>
          </w:p>
        </w:tc>
      </w:tr>
      <w:tr>
        <w:tc>
          <w:tcPr>
            <w:tcW w:type="dxa" w:w="2448"/>
            <w:tcMar>
              <w:top w:w="80" w:type="dxa"/>
              <w:start w:w="120" w:type="dxa"/>
              <w:bottom w:w="80" w:type="dxa"/>
              <w:end w:w="120" w:type="dxa"/>
            </w:tcMar>
            <w:vAlign w:val="center"/>
          </w:tcPr>
          <w:p>
            <w:pPr>
              <w:spacing w:after="40" w:before="0" w:line="252" w:lineRule="auto"/>
            </w:pPr>
            <w:r>
              <w:rPr>
                <w:rFonts w:ascii="Calibri" w:hAnsi="Calibri"/>
                <w:sz w:val="17"/>
              </w:rPr>
              <w:t>Identity key</w:t>
            </w:r>
          </w:p>
        </w:tc>
        <w:tc>
          <w:tcPr>
            <w:tcW w:type="dxa" w:w="6912"/>
            <w:tcMar>
              <w:top w:w="80" w:type="dxa"/>
              <w:start w:w="120" w:type="dxa"/>
              <w:bottom w:w="80" w:type="dxa"/>
              <w:end w:w="120" w:type="dxa"/>
            </w:tcMar>
            <w:vAlign w:val="center"/>
          </w:tcPr>
          <w:p>
            <w:pPr>
              <w:spacing w:after="40" w:before="0" w:line="252" w:lineRule="auto"/>
            </w:pPr>
            <w:r>
              <w:rPr>
                <w:rFonts w:ascii="Calibri" w:hAnsi="Calibri"/>
                <w:sz w:val="17"/>
              </w:rPr>
              <w:t>Firebase UID; users/{uid} is the authoritative user document.</w:t>
            </w:r>
          </w:p>
        </w:tc>
      </w:tr>
      <w:tr>
        <w:tc>
          <w:tcPr>
            <w:tcW w:type="dxa" w:w="2448"/>
            <w:tcMar>
              <w:top w:w="80" w:type="dxa"/>
              <w:start w:w="120" w:type="dxa"/>
              <w:bottom w:w="80" w:type="dxa"/>
              <w:end w:w="120" w:type="dxa"/>
            </w:tcMar>
            <w:vAlign w:val="center"/>
          </w:tcPr>
          <w:p>
            <w:pPr>
              <w:spacing w:after="40" w:before="0" w:line="252" w:lineRule="auto"/>
            </w:pPr>
            <w:r>
              <w:rPr>
                <w:rFonts w:ascii="Calibri" w:hAnsi="Calibri"/>
                <w:sz w:val="17"/>
              </w:rPr>
              <w:t>Role</w:t>
            </w:r>
          </w:p>
        </w:tc>
        <w:tc>
          <w:tcPr>
            <w:tcW w:type="dxa" w:w="6912"/>
            <w:tcMar>
              <w:top w:w="80" w:type="dxa"/>
              <w:start w:w="120" w:type="dxa"/>
              <w:bottom w:w="80" w:type="dxa"/>
              <w:end w:w="120" w:type="dxa"/>
            </w:tcMar>
            <w:vAlign w:val="center"/>
          </w:tcPr>
          <w:p>
            <w:pPr>
              <w:spacing w:after="40" w:before="0" w:line="252" w:lineRule="auto"/>
            </w:pPr>
            <w:r>
              <w:rPr>
                <w:rFonts w:ascii="Calibri" w:hAnsi="Calibri"/>
                <w:sz w:val="17"/>
              </w:rPr>
              <w:t>Small controlled role enum used as a coarse boundary, not as the only permission system.</w:t>
            </w:r>
          </w:p>
        </w:tc>
      </w:tr>
      <w:tr>
        <w:tc>
          <w:tcPr>
            <w:tcW w:type="dxa" w:w="2448"/>
            <w:tcMar>
              <w:top w:w="80" w:type="dxa"/>
              <w:start w:w="120" w:type="dxa"/>
              <w:bottom w:w="80" w:type="dxa"/>
              <w:end w:w="120" w:type="dxa"/>
            </w:tcMar>
            <w:vAlign w:val="center"/>
          </w:tcPr>
          <w:p>
            <w:pPr>
              <w:spacing w:after="40" w:before="0" w:line="252" w:lineRule="auto"/>
            </w:pPr>
            <w:r>
              <w:rPr>
                <w:rFonts w:ascii="Calibri" w:hAnsi="Calibri"/>
                <w:sz w:val="17"/>
              </w:rPr>
              <w:t>Permissions</w:t>
            </w:r>
          </w:p>
        </w:tc>
        <w:tc>
          <w:tcPr>
            <w:tcW w:type="dxa" w:w="6912"/>
            <w:tcMar>
              <w:top w:w="80" w:type="dxa"/>
              <w:start w:w="120" w:type="dxa"/>
              <w:bottom w:w="80" w:type="dxa"/>
              <w:end w:w="120" w:type="dxa"/>
            </w:tcMar>
            <w:vAlign w:val="center"/>
          </w:tcPr>
          <w:p>
            <w:pPr>
              <w:spacing w:after="40" w:before="0" w:line="252" w:lineRule="auto"/>
            </w:pPr>
            <w:r>
              <w:rPr>
                <w:rFonts w:ascii="Calibri" w:hAnsi="Calibri"/>
                <w:sz w:val="17"/>
              </w:rPr>
              <w:t>One registry of permission identifiers with server-side validation and documented inheritance.</w:t>
            </w:r>
          </w:p>
        </w:tc>
      </w:tr>
      <w:tr>
        <w:tc>
          <w:tcPr>
            <w:tcW w:type="dxa" w:w="2448"/>
            <w:tcMar>
              <w:top w:w="80" w:type="dxa"/>
              <w:start w:w="120" w:type="dxa"/>
              <w:bottom w:w="80" w:type="dxa"/>
              <w:end w:w="120" w:type="dxa"/>
            </w:tcMar>
            <w:vAlign w:val="center"/>
          </w:tcPr>
          <w:p>
            <w:pPr>
              <w:spacing w:after="40" w:before="0" w:line="252" w:lineRule="auto"/>
            </w:pPr>
            <w:r>
              <w:rPr>
                <w:rFonts w:ascii="Calibri" w:hAnsi="Calibri"/>
                <w:sz w:val="17"/>
              </w:rPr>
              <w:t>Legacy shape</w:t>
            </w:r>
          </w:p>
        </w:tc>
        <w:tc>
          <w:tcPr>
            <w:tcW w:type="dxa" w:w="6912"/>
            <w:tcMar>
              <w:top w:w="80" w:type="dxa"/>
              <w:start w:w="120" w:type="dxa"/>
              <w:bottom w:w="80" w:type="dxa"/>
              <w:end w:w="120" w:type="dxa"/>
            </w:tcMar>
            <w:vAlign w:val="center"/>
          </w:tcPr>
          <w:p>
            <w:pPr>
              <w:spacing w:after="40" w:before="0" w:line="252" w:lineRule="auto"/>
            </w:pPr>
            <w:r>
              <w:rPr>
                <w:rFonts w:ascii="Calibri" w:hAnsi="Calibri"/>
                <w:sz w:val="17"/>
              </w:rPr>
              <w:t>toSystemUser() adapter for current components; no direct legacy permission interpretation outside the adapter.</w:t>
            </w:r>
          </w:p>
        </w:tc>
      </w:tr>
      <w:tr>
        <w:tc>
          <w:tcPr>
            <w:tcW w:type="dxa" w:w="2448"/>
            <w:tcMar>
              <w:top w:w="80" w:type="dxa"/>
              <w:start w:w="120" w:type="dxa"/>
              <w:bottom w:w="80" w:type="dxa"/>
              <w:end w:w="120" w:type="dxa"/>
            </w:tcMar>
            <w:vAlign w:val="center"/>
          </w:tcPr>
          <w:p>
            <w:pPr>
              <w:spacing w:after="40" w:before="0" w:line="252" w:lineRule="auto"/>
            </w:pPr>
            <w:r>
              <w:rPr>
                <w:rFonts w:ascii="Calibri" w:hAnsi="Calibri"/>
                <w:sz w:val="17"/>
              </w:rPr>
              <w:t>Audit</w:t>
            </w:r>
          </w:p>
        </w:tc>
        <w:tc>
          <w:tcPr>
            <w:tcW w:type="dxa" w:w="6912"/>
            <w:tcMar>
              <w:top w:w="80" w:type="dxa"/>
              <w:start w:w="120" w:type="dxa"/>
              <w:bottom w:w="80" w:type="dxa"/>
              <w:end w:w="120" w:type="dxa"/>
            </w:tcMar>
            <w:vAlign w:val="center"/>
          </w:tcPr>
          <w:p>
            <w:pPr>
              <w:spacing w:after="40" w:before="0" w:line="252" w:lineRule="auto"/>
            </w:pPr>
            <w:r>
              <w:rPr>
                <w:rFonts w:ascii="Calibri" w:hAnsi="Calibri"/>
                <w:sz w:val="17"/>
              </w:rPr>
              <w:t>createdBy, updatedBy, createdAt, updatedAt, status, and permission-change history.</w:t>
            </w:r>
          </w:p>
        </w:tc>
      </w:tr>
    </w:tbl>
    <w:p>
      <w:pPr>
        <w:spacing w:after="0"/>
      </w:pPr>
    </w:p>
    <w:p>
      <w:pPr>
        <w:pStyle w:val="Heading2"/>
      </w:pPr>
      <w:r>
        <w:t>Migration flow</w:t>
      </w:r>
    </w:p>
    <w:p>
      <w:pPr>
        <w:numPr>
          <w:ilvl w:val="0"/>
          <w:numId w:val="10"/>
        </w:numPr>
        <w:spacing w:after="80"/>
      </w:pPr>
      <w:r>
        <w:t>Inventory both collections by normalized username/email and record conflicts: duplicate identities, missing Firebase UID, inconsistent role, disabled status, and permission differences.</w:t>
      </w:r>
    </w:p>
    <w:p>
      <w:pPr>
        <w:numPr>
          <w:ilvl w:val="0"/>
          <w:numId w:val="10"/>
        </w:numPr>
        <w:spacing w:after="80"/>
      </w:pPr>
      <w:r>
        <w:t>Define a deterministic mapping table from modules, modulePermissions and granularPermissions to the canonical registry. Ambiguous mappings require owner approval; never guess a privilege.</w:t>
      </w:r>
    </w:p>
    <w:p>
      <w:pPr>
        <w:numPr>
          <w:ilvl w:val="0"/>
          <w:numId w:val="10"/>
        </w:numPr>
        <w:spacing w:after="80"/>
      </w:pPr>
      <w:r>
        <w:t>Build a dry-run migration that writes no data and produces counts, conflicts, proposed UIDs and before/after permission diffs.</w:t>
      </w:r>
    </w:p>
    <w:p>
      <w:pPr>
        <w:numPr>
          <w:ilvl w:val="0"/>
          <w:numId w:val="10"/>
        </w:numPr>
        <w:spacing w:after="80"/>
      </w:pPr>
      <w:r>
        <w:t>Resolve conflicts manually, then backfill users/{uid} in small batches with idempotent markers and audit metadata.</w:t>
      </w:r>
    </w:p>
    <w:p>
      <w:pPr>
        <w:numPr>
          <w:ilvl w:val="0"/>
          <w:numId w:val="10"/>
        </w:numPr>
        <w:spacing w:after="80"/>
      </w:pPr>
      <w:r>
        <w:t>During transition, dual-read canonical first and legacy second; dual-write only through one service. Emit telemetry whenever a legacy fallback is used.</w:t>
      </w:r>
    </w:p>
    <w:p>
      <w:pPr>
        <w:numPr>
          <w:ilvl w:val="0"/>
          <w:numId w:val="10"/>
        </w:numPr>
        <w:spacing w:after="80"/>
      </w:pPr>
      <w:r>
        <w:t>Compare authorization decisions in shadow mode. Enforce canonical decisions only when equivalence is demonstrated for each role and workflow.</w:t>
      </w:r>
    </w:p>
    <w:p>
      <w:pPr>
        <w:numPr>
          <w:ilvl w:val="0"/>
          <w:numId w:val="10"/>
        </w:numPr>
        <w:spacing w:after="80"/>
      </w:pPr>
      <w:r>
        <w:t>Stop legacy writes, monitor for at least one release cycle, export/archive system_users, then remove legacy reads in a later pull request.</w:t>
      </w:r>
    </w:p>
    <w:p>
      <w:pPr>
        <w:pStyle w:val="Heading2"/>
      </w:pPr>
      <w:r>
        <w:t>Acceptance gate</w:t>
      </w:r>
    </w:p>
    <w:p>
      <w:pPr>
        <w:numPr>
          <w:ilvl w:val="0"/>
          <w:numId w:val="12"/>
        </w:numPr>
        <w:spacing w:after="80"/>
      </w:pPr>
      <w:r>
        <w:t>Every active account has exactly one Firebase UID and canonical user record.</w:t>
      </w:r>
    </w:p>
    <w:p>
      <w:pPr>
        <w:numPr>
          <w:ilvl w:val="0"/>
          <w:numId w:val="12"/>
        </w:numPr>
        <w:spacing w:after="80"/>
      </w:pPr>
      <w:r>
        <w:t>Permission mapping has no unresolved ambiguity or silent default-to-allow behavior.</w:t>
      </w:r>
    </w:p>
    <w:p>
      <w:pPr>
        <w:numPr>
          <w:ilvl w:val="0"/>
          <w:numId w:val="12"/>
        </w:numPr>
        <w:spacing w:after="80"/>
      </w:pPr>
      <w:r>
        <w:t>Shadow comparison shows expected parity for critical workflows.</w:t>
      </w:r>
    </w:p>
    <w:p>
      <w:pPr>
        <w:numPr>
          <w:ilvl w:val="0"/>
          <w:numId w:val="12"/>
        </w:numPr>
        <w:spacing w:after="80"/>
      </w:pPr>
      <w:r>
        <w:t>No runtime path directly authorizes from system_users, modules, or client-supplied role data.</w:t>
      </w:r>
    </w:p>
    <w:p>
      <w:pPr>
        <w:pStyle w:val="Heading1"/>
      </w:pPr>
      <w:r>
        <w:t>Phase 4 — Deploy deny-by-default Firestore and Storage rules</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4–6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Firebase security owner</w:t>
            </w:r>
          </w:p>
        </w:tc>
      </w:tr>
    </w:tbl>
    <w:p>
      <w:pPr>
        <w:spacing w:after="0"/>
      </w:pPr>
    </w:p>
    <w:p>
      <w:pPr>
        <w:spacing w:after="100"/>
      </w:pPr>
      <w:r>
        <w:rPr>
          <w:b/>
          <w:color w:val="1F4D78"/>
        </w:rPr>
        <w:t xml:space="preserve">Problem: </w:t>
      </w:r>
      <w:r>
        <w:t>firestore.rules currently allows public read and write. Storage authorization uses a different legacy permission representation. Client code may also assume broad queries that secure rules will reject.</w:t>
      </w:r>
    </w:p>
    <w:p>
      <w:pPr>
        <w:spacing w:after="100"/>
      </w:pPr>
      <w:r>
        <w:rPr>
          <w:b/>
          <w:color w:val="1F4D78"/>
        </w:rPr>
        <w:t xml:space="preserve">Risk: </w:t>
      </w:r>
      <w:r>
        <w:t>Unauthenticated disclosure, tampering, deletion, privilege escalation, malicious file upload, and operational lockout when rules are tightened without query testing.</w:t>
      </w:r>
    </w:p>
    <w:p>
      <w:pPr>
        <w:pStyle w:val="Heading2"/>
      </w:pPr>
      <w:r>
        <w:t>Collection classification before coding rules</w:t>
      </w:r>
    </w:p>
    <w:tbl>
      <w:tblPr>
        <w:tblStyle w:val="TableGrid"/>
        <w:tblW w:type="dxa" w:w="9360"/>
        <w:jc w:val="center"/>
        <w:tblLayout w:type="fixed"/>
        <w:tblLook w:firstColumn="1" w:firstRow="1" w:lastColumn="0" w:lastRow="0" w:noHBand="0" w:noVBand="1" w:val="04A0"/>
        <w:tblInd w:w="120" w:type="dxa"/>
      </w:tblPr>
      <w:tblGrid>
        <w:gridCol w:w="1728"/>
        <w:gridCol w:w="3600"/>
        <w:gridCol w:w="4032"/>
      </w:tblGrid>
      <w:tr>
        <w:trPr>
          <w:tblHeader w:val="true"/>
        </w:trPr>
        <w:tc>
          <w:tcPr>
            <w:tcW w:type="dxa" w:w="1728"/>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Class</w:t>
            </w:r>
          </w:p>
        </w:tc>
        <w:tc>
          <w:tcPr>
            <w:tcW w:type="dxa" w:w="3600"/>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Examples</w:t>
            </w:r>
          </w:p>
        </w:tc>
        <w:tc>
          <w:tcPr>
            <w:tcW w:type="dxa" w:w="4032"/>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Default access</w:t>
            </w:r>
          </w:p>
        </w:tc>
      </w:tr>
      <w:tr>
        <w:tc>
          <w:tcPr>
            <w:tcW w:type="dxa" w:w="1728"/>
            <w:tcMar>
              <w:top w:w="80" w:type="dxa"/>
              <w:start w:w="120" w:type="dxa"/>
              <w:bottom w:w="80" w:type="dxa"/>
              <w:end w:w="120" w:type="dxa"/>
            </w:tcMar>
            <w:vAlign w:val="center"/>
          </w:tcPr>
          <w:p>
            <w:pPr>
              <w:spacing w:after="40" w:before="0" w:line="252" w:lineRule="auto"/>
            </w:pPr>
            <w:r>
              <w:rPr>
                <w:rFonts w:ascii="Calibri" w:hAnsi="Calibri"/>
                <w:sz w:val="17"/>
              </w:rPr>
              <w:t>Public</w:t>
            </w:r>
          </w:p>
        </w:tc>
        <w:tc>
          <w:tcPr>
            <w:tcW w:type="dxa" w:w="3600"/>
            <w:tcMar>
              <w:top w:w="80" w:type="dxa"/>
              <w:start w:w="120" w:type="dxa"/>
              <w:bottom w:w="80" w:type="dxa"/>
              <w:end w:w="120" w:type="dxa"/>
            </w:tcMar>
            <w:vAlign w:val="center"/>
          </w:tcPr>
          <w:p>
            <w:pPr>
              <w:spacing w:after="40" w:before="0" w:line="252" w:lineRule="auto"/>
            </w:pPr>
            <w:r>
              <w:rPr>
                <w:rFonts w:ascii="Calibri" w:hAnsi="Calibri"/>
                <w:sz w:val="17"/>
              </w:rPr>
              <w:t>Only deliberately published school content, if any.</w:t>
            </w:r>
          </w:p>
        </w:tc>
        <w:tc>
          <w:tcPr>
            <w:tcW w:type="dxa" w:w="4032"/>
            <w:tcMar>
              <w:top w:w="80" w:type="dxa"/>
              <w:start w:w="120" w:type="dxa"/>
              <w:bottom w:w="80" w:type="dxa"/>
              <w:end w:w="120" w:type="dxa"/>
            </w:tcMar>
            <w:vAlign w:val="center"/>
          </w:tcPr>
          <w:p>
            <w:pPr>
              <w:spacing w:after="40" w:before="0" w:line="252" w:lineRule="auto"/>
            </w:pPr>
            <w:r>
              <w:rPr>
                <w:rFonts w:ascii="Calibri" w:hAnsi="Calibri"/>
                <w:sz w:val="17"/>
              </w:rPr>
              <w:t>Read-only; explicit fields; no personal data.</w:t>
            </w:r>
          </w:p>
        </w:tc>
      </w:tr>
      <w:tr>
        <w:tc>
          <w:tcPr>
            <w:tcW w:type="dxa" w:w="1728"/>
            <w:tcMar>
              <w:top w:w="80" w:type="dxa"/>
              <w:start w:w="120" w:type="dxa"/>
              <w:bottom w:w="80" w:type="dxa"/>
              <w:end w:w="120" w:type="dxa"/>
            </w:tcMar>
            <w:vAlign w:val="center"/>
          </w:tcPr>
          <w:p>
            <w:pPr>
              <w:spacing w:after="40" w:before="0" w:line="252" w:lineRule="auto"/>
            </w:pPr>
            <w:r>
              <w:rPr>
                <w:rFonts w:ascii="Calibri" w:hAnsi="Calibri"/>
                <w:sz w:val="17"/>
              </w:rPr>
              <w:t>Authenticated shared</w:t>
            </w:r>
          </w:p>
        </w:tc>
        <w:tc>
          <w:tcPr>
            <w:tcW w:type="dxa" w:w="3600"/>
            <w:tcMar>
              <w:top w:w="80" w:type="dxa"/>
              <w:start w:w="120" w:type="dxa"/>
              <w:bottom w:w="80" w:type="dxa"/>
              <w:end w:w="120" w:type="dxa"/>
            </w:tcMar>
            <w:vAlign w:val="center"/>
          </w:tcPr>
          <w:p>
            <w:pPr>
              <w:spacing w:after="40" w:before="0" w:line="252" w:lineRule="auto"/>
            </w:pPr>
            <w:r>
              <w:rPr>
                <w:rFonts w:ascii="Calibri" w:hAnsi="Calibri"/>
                <w:sz w:val="17"/>
              </w:rPr>
              <w:t>Limited configuration or reference data needed by all signed-in roles.</w:t>
            </w:r>
          </w:p>
        </w:tc>
        <w:tc>
          <w:tcPr>
            <w:tcW w:type="dxa" w:w="4032"/>
            <w:tcMar>
              <w:top w:w="80" w:type="dxa"/>
              <w:start w:w="120" w:type="dxa"/>
              <w:bottom w:w="80" w:type="dxa"/>
              <w:end w:w="120" w:type="dxa"/>
            </w:tcMar>
            <w:vAlign w:val="center"/>
          </w:tcPr>
          <w:p>
            <w:pPr>
              <w:spacing w:after="40" w:before="0" w:line="252" w:lineRule="auto"/>
            </w:pPr>
            <w:r>
              <w:rPr>
                <w:rFonts w:ascii="Calibri" w:hAnsi="Calibri"/>
                <w:sz w:val="17"/>
              </w:rPr>
              <w:t>Read with auth; writes restricted to named permissions.</w:t>
            </w:r>
          </w:p>
        </w:tc>
      </w:tr>
      <w:tr>
        <w:tc>
          <w:tcPr>
            <w:tcW w:type="dxa" w:w="1728"/>
            <w:tcMar>
              <w:top w:w="80" w:type="dxa"/>
              <w:start w:w="120" w:type="dxa"/>
              <w:bottom w:w="80" w:type="dxa"/>
              <w:end w:w="120" w:type="dxa"/>
            </w:tcMar>
            <w:vAlign w:val="center"/>
          </w:tcPr>
          <w:p>
            <w:pPr>
              <w:spacing w:after="40" w:before="0" w:line="252" w:lineRule="auto"/>
            </w:pPr>
            <w:r>
              <w:rPr>
                <w:rFonts w:ascii="Calibri" w:hAnsi="Calibri"/>
                <w:sz w:val="17"/>
              </w:rPr>
              <w:t>Restricted</w:t>
            </w:r>
          </w:p>
        </w:tc>
        <w:tc>
          <w:tcPr>
            <w:tcW w:type="dxa" w:w="3600"/>
            <w:tcMar>
              <w:top w:w="80" w:type="dxa"/>
              <w:start w:w="120" w:type="dxa"/>
              <w:bottom w:w="80" w:type="dxa"/>
              <w:end w:w="120" w:type="dxa"/>
            </w:tcMar>
            <w:vAlign w:val="center"/>
          </w:tcPr>
          <w:p>
            <w:pPr>
              <w:spacing w:after="40" w:before="0" w:line="252" w:lineRule="auto"/>
            </w:pPr>
            <w:r>
              <w:rPr>
                <w:rFonts w:ascii="Calibri" w:hAnsi="Calibri"/>
                <w:sz w:val="17"/>
              </w:rPr>
              <w:t>Pupils, staff, attendance, fees, notifications, reports.</w:t>
            </w:r>
          </w:p>
        </w:tc>
        <w:tc>
          <w:tcPr>
            <w:tcW w:type="dxa" w:w="4032"/>
            <w:tcMar>
              <w:top w:w="80" w:type="dxa"/>
              <w:start w:w="120" w:type="dxa"/>
              <w:bottom w:w="80" w:type="dxa"/>
              <w:end w:w="120" w:type="dxa"/>
            </w:tcMar>
            <w:vAlign w:val="center"/>
          </w:tcPr>
          <w:p>
            <w:pPr>
              <w:spacing w:after="40" w:before="0" w:line="252" w:lineRule="auto"/>
            </w:pPr>
            <w:r>
              <w:rPr>
                <w:rFonts w:ascii="Calibri" w:hAnsi="Calibri"/>
                <w:sz w:val="17"/>
              </w:rPr>
              <w:t>Role/permission plus scope; deny unrelated users.</w:t>
            </w:r>
          </w:p>
        </w:tc>
      </w:tr>
      <w:tr>
        <w:tc>
          <w:tcPr>
            <w:tcW w:type="dxa" w:w="1728"/>
            <w:tcMar>
              <w:top w:w="80" w:type="dxa"/>
              <w:start w:w="120" w:type="dxa"/>
              <w:bottom w:w="80" w:type="dxa"/>
              <w:end w:w="120" w:type="dxa"/>
            </w:tcMar>
            <w:vAlign w:val="center"/>
          </w:tcPr>
          <w:p>
            <w:pPr>
              <w:spacing w:after="40" w:before="0" w:line="252" w:lineRule="auto"/>
            </w:pPr>
            <w:r>
              <w:rPr>
                <w:rFonts w:ascii="Calibri" w:hAnsi="Calibri"/>
                <w:sz w:val="17"/>
              </w:rPr>
              <w:t>Highly sensitive</w:t>
            </w:r>
          </w:p>
        </w:tc>
        <w:tc>
          <w:tcPr>
            <w:tcW w:type="dxa" w:w="3600"/>
            <w:tcMar>
              <w:top w:w="80" w:type="dxa"/>
              <w:start w:w="120" w:type="dxa"/>
              <w:bottom w:w="80" w:type="dxa"/>
              <w:end w:w="120" w:type="dxa"/>
            </w:tcMar>
            <w:vAlign w:val="center"/>
          </w:tcPr>
          <w:p>
            <w:pPr>
              <w:spacing w:after="40" w:before="0" w:line="252" w:lineRule="auto"/>
            </w:pPr>
            <w:r>
              <w:rPr>
                <w:rFonts w:ascii="Calibri" w:hAnsi="Calibri"/>
                <w:sz w:val="17"/>
              </w:rPr>
              <w:t>Passwords/legacy auth, payment internals, audit/security records, secrets.</w:t>
            </w:r>
          </w:p>
        </w:tc>
        <w:tc>
          <w:tcPr>
            <w:tcW w:type="dxa" w:w="4032"/>
            <w:tcMar>
              <w:top w:w="80" w:type="dxa"/>
              <w:start w:w="120" w:type="dxa"/>
              <w:bottom w:w="80" w:type="dxa"/>
              <w:end w:w="120" w:type="dxa"/>
            </w:tcMar>
            <w:vAlign w:val="center"/>
          </w:tcPr>
          <w:p>
            <w:pPr>
              <w:spacing w:after="40" w:before="0" w:line="252" w:lineRule="auto"/>
            </w:pPr>
            <w:r>
              <w:rPr>
                <w:rFonts w:ascii="Calibri" w:hAnsi="Calibri"/>
                <w:sz w:val="17"/>
              </w:rPr>
              <w:t>Server-only; never browser-readable.</w:t>
            </w:r>
          </w:p>
        </w:tc>
      </w:tr>
    </w:tbl>
    <w:p>
      <w:pPr>
        <w:spacing w:after="0"/>
      </w:pPr>
    </w:p>
    <w:p>
      <w:pPr>
        <w:pStyle w:val="Heading2"/>
      </w:pPr>
      <w:r>
        <w:t>Implementation flow</w:t>
      </w:r>
    </w:p>
    <w:p>
      <w:pPr>
        <w:numPr>
          <w:ilvl w:val="0"/>
          <w:numId w:val="10"/>
        </w:numPr>
        <w:spacing w:after="80"/>
      </w:pPr>
      <w:r>
        <w:t>Create Firestore Emulator tests first: unauthenticated deny, correct-role allow, wrong-role deny, cross-scope deny, immutable ownership/audit fields, and field-level restrictions for each collection.</w:t>
      </w:r>
    </w:p>
    <w:p>
      <w:pPr>
        <w:numPr>
          <w:ilvl w:val="0"/>
          <w:numId w:val="10"/>
        </w:numPr>
        <w:spacing w:after="80"/>
      </w:pPr>
      <w:r>
        <w:t>Add helper functions for authenticated UID, active canonical user, permission membership and document scope. Keep helpers small enough for rules evaluation limits.</w:t>
      </w:r>
    </w:p>
    <w:p>
      <w:pPr>
        <w:numPr>
          <w:ilvl w:val="0"/>
          <w:numId w:val="10"/>
        </w:numPr>
        <w:spacing w:after="80"/>
      </w:pPr>
      <w:r>
        <w:t>Protect user documents from self-elevating writes: a user may update approved profile fields but never role, status, access level or permissions.</w:t>
      </w:r>
    </w:p>
    <w:p>
      <w:pPr>
        <w:numPr>
          <w:ilvl w:val="0"/>
          <w:numId w:val="10"/>
        </w:numPr>
        <w:spacing w:after="80"/>
      </w:pPr>
      <w:r>
        <w:t>Protect financial and attendance transitions with field constraints; use server routes for complex mutations that rules cannot safely express.</w:t>
      </w:r>
    </w:p>
    <w:p>
      <w:pPr>
        <w:numPr>
          <w:ilvl w:val="0"/>
          <w:numId w:val="10"/>
        </w:numPr>
        <w:spacing w:after="80"/>
      </w:pPr>
      <w:r>
        <w:t>Align storage.rules with canonical UID/permission claims, validate path ownership, MIME type and size where supported, and restrict deletes separately from uploads.</w:t>
      </w:r>
    </w:p>
    <w:p>
      <w:pPr>
        <w:numPr>
          <w:ilvl w:val="0"/>
          <w:numId w:val="10"/>
        </w:numPr>
        <w:spacing w:after="80"/>
      </w:pPr>
      <w:r>
        <w:t>Run every critical query against the emulator. Add required indexes deliberately; never weaken rules just to make a query pass.</w:t>
      </w:r>
    </w:p>
    <w:p>
      <w:pPr>
        <w:numPr>
          <w:ilvl w:val="0"/>
          <w:numId w:val="10"/>
        </w:numPr>
        <w:spacing w:after="80"/>
      </w:pPr>
      <w:r>
        <w:t>Deploy to staging. Roll out production collection-by-collection during a low-usage window while observing permission-denied metrics and user workflow smoke tests.</w:t>
      </w:r>
    </w:p>
    <w:p>
      <w:pPr>
        <w:numPr>
          <w:ilvl w:val="0"/>
          <w:numId w:val="10"/>
        </w:numPr>
        <w:spacing w:after="80"/>
      </w:pPr>
      <w:r>
        <w:t>Keep the prior ruleset version and one-command rollback. Roll back only the affected ruleset while investigating; do not restore allow-all rules as a routine fix.</w:t>
      </w:r>
    </w:p>
    <w:p>
      <w:pPr>
        <w:pStyle w:val="Heading2"/>
      </w:pPr>
      <w:r>
        <w:t>Acceptance gate</w:t>
      </w:r>
    </w:p>
    <w:p>
      <w:pPr>
        <w:numPr>
          <w:ilvl w:val="0"/>
          <w:numId w:val="12"/>
        </w:numPr>
        <w:spacing w:after="80"/>
      </w:pPr>
      <w:r>
        <w:t>Unauthenticated reads/writes to every non-public collection fail.</w:t>
      </w:r>
    </w:p>
    <w:p>
      <w:pPr>
        <w:numPr>
          <w:ilvl w:val="0"/>
          <w:numId w:val="12"/>
        </w:numPr>
        <w:spacing w:after="80"/>
      </w:pPr>
      <w:r>
        <w:t>Users cannot modify their own role, permissions, status or protected audit fields.</w:t>
      </w:r>
    </w:p>
    <w:p>
      <w:pPr>
        <w:numPr>
          <w:ilvl w:val="0"/>
          <w:numId w:val="12"/>
        </w:numPr>
        <w:spacing w:after="80"/>
      </w:pPr>
      <w:r>
        <w:t>Role and scope negative tests pass for pupil, staff, fee, attendance and user data.</w:t>
      </w:r>
    </w:p>
    <w:p>
      <w:pPr>
        <w:numPr>
          <w:ilvl w:val="0"/>
          <w:numId w:val="12"/>
        </w:numPr>
        <w:spacing w:after="80"/>
      </w:pPr>
      <w:r>
        <w:t>Upload/read/delete storage tests pass for allowed and denied users.</w:t>
      </w:r>
    </w:p>
    <w:p>
      <w:pPr>
        <w:numPr>
          <w:ilvl w:val="0"/>
          <w:numId w:val="12"/>
        </w:numPr>
        <w:spacing w:after="80"/>
      </w:pPr>
      <w:r>
        <w:t>No production workflow requires a temporary allow-all rule.</w:t>
      </w:r>
    </w:p>
    <w:p>
      <w:pPr>
        <w:pStyle w:val="Heading1"/>
      </w:pPr>
      <w:r>
        <w:t>Phase 5 — Harden APIs, Cloud Functions, webhooks, cron and SMS</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P0</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5–8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Backend/integration lead</w:t>
            </w:r>
          </w:p>
        </w:tc>
      </w:tr>
    </w:tbl>
    <w:p>
      <w:pPr>
        <w:spacing w:after="0"/>
      </w:pPr>
    </w:p>
    <w:p>
      <w:pPr>
        <w:spacing w:after="100"/>
      </w:pPr>
      <w:r>
        <w:rPr>
          <w:b/>
          <w:color w:val="1F4D78"/>
        </w:rPr>
        <w:t xml:space="preserve">Problem: </w:t>
      </w:r>
      <w:r>
        <w:t>Mutating Next.js routes and exported Cloud Functions do not consistently authenticate callers. CORS is permissive. SchoolPay verification is optional. Cron authentication trusts missing configuration and a spoofable user-agent. SMS scheduling lacks a durable lease/idempotency boundary.</w:t>
      </w:r>
    </w:p>
    <w:p>
      <w:pPr>
        <w:spacing w:after="100"/>
      </w:pPr>
      <w:r>
        <w:rPr>
          <w:b/>
          <w:color w:val="1F4D78"/>
        </w:rPr>
        <w:t xml:space="preserve">Risk: </w:t>
      </w:r>
      <w:r>
        <w:t>External callers can perform administrative mutations, trigger provider costs, forge or replay payment events, and cause duplicate scheduled messages.</w:t>
      </w:r>
    </w:p>
    <w:p>
      <w:pPr>
        <w:pStyle w:val="Heading2"/>
      </w:pPr>
      <w:r>
        <w:t>Route authorization matrix</w:t>
      </w:r>
    </w:p>
    <w:tbl>
      <w:tblPr>
        <w:tblStyle w:val="TableGrid"/>
        <w:tblW w:type="dxa" w:w="9360"/>
        <w:jc w:val="center"/>
        <w:tblLayout w:type="fixed"/>
        <w:tblLook w:firstColumn="1" w:firstRow="1" w:lastColumn="0" w:lastRow="0" w:noHBand="0" w:noVBand="1" w:val="04A0"/>
        <w:tblInd w:w="120" w:type="dxa"/>
      </w:tblPr>
      <w:tblGrid>
        <w:gridCol w:w="2088"/>
        <w:gridCol w:w="2880"/>
        <w:gridCol w:w="4392"/>
      </w:tblGrid>
      <w:tr>
        <w:trPr>
          <w:tblHeader w:val="true"/>
        </w:trPr>
        <w:tc>
          <w:tcPr>
            <w:tcW w:type="dxa" w:w="2088"/>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Route category</w:t>
            </w:r>
          </w:p>
        </w:tc>
        <w:tc>
          <w:tcPr>
            <w:tcW w:type="dxa" w:w="2880"/>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Required caller proof</w:t>
            </w:r>
          </w:p>
        </w:tc>
        <w:tc>
          <w:tcPr>
            <w:tcW w:type="dxa" w:w="4392"/>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Authorization and safety controls</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Login/session</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Valid credentials or refresh/session token</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Rate limit; generic errors; account status; short session; audit.</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SchoolPay webhook</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Mandatory provider signature + fresh timestamp</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Raw-body verification; event idempotency; replay rejection; transaction.</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Scheduled jobs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Authorization: Bearer &lt;CRON_SECRET&gt;</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Fail closed if absent; no query secret; job lease; idempotency; audit.</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Admin mutations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Verified Firebase ID token/session</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requirePermission; Zod; CSRF protection for cookie auth; rate limit.</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Pupil/staff/fees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Verified user</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Resource scope; least privilege; transactions; audit actor UID.</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SMS/recharge/bulk</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Verified privileged user or internal job</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Cost quota; recipient cap; confirmation; provider semantic result; idempotency.</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File upload/delete/icons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Verified user plus explicit permission</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MIME sniff; size/count cap; safe generated names; path allow-list; malware scanning.</w:t>
            </w:r>
          </w:p>
        </w:tc>
      </w:tr>
      <w:tr>
        <w:tc>
          <w:tcPr>
            <w:tcW w:type="dxa" w:w="2088"/>
            <w:tcMar>
              <w:top w:w="80" w:type="dxa"/>
              <w:start w:w="120" w:type="dxa"/>
              <w:bottom w:w="80" w:type="dxa"/>
              <w:end w:w="120" w:type="dxa"/>
            </w:tcMar>
            <w:vAlign w:val="center"/>
          </w:tcPr>
          <w:p>
            <w:pPr>
              <w:spacing w:after="40" w:before="0" w:line="252" w:lineRule="auto"/>
            </w:pPr>
            <w:r>
              <w:rPr>
                <w:rFonts w:ascii="Calibri" w:hAnsi="Calibri"/>
                <w:sz w:val="16"/>
              </w:rPr>
              <w:t>Read-only stats</w:t>
            </w:r>
          </w:p>
        </w:tc>
        <w:tc>
          <w:tcPr>
            <w:tcW w:type="dxa" w:w="2880"/>
            <w:tcMar>
              <w:top w:w="80" w:type="dxa"/>
              <w:start w:w="120" w:type="dxa"/>
              <w:bottom w:w="80" w:type="dxa"/>
              <w:end w:w="120" w:type="dxa"/>
            </w:tcMar>
            <w:vAlign w:val="center"/>
          </w:tcPr>
          <w:p>
            <w:pPr>
              <w:spacing w:after="40" w:before="0" w:line="252" w:lineRule="auto"/>
            </w:pPr>
            <w:r>
              <w:rPr>
                <w:rFonts w:ascii="Calibri" w:hAnsi="Calibri"/>
                <w:sz w:val="16"/>
              </w:rPr>
              <w:t>Verified administrator</w:t>
            </w:r>
          </w:p>
        </w:tc>
        <w:tc>
          <w:tcPr>
            <w:tcW w:type="dxa" w:w="4392"/>
            <w:tcMar>
              <w:top w:w="80" w:type="dxa"/>
              <w:start w:w="120" w:type="dxa"/>
              <w:bottom w:w="80" w:type="dxa"/>
              <w:end w:w="120" w:type="dxa"/>
            </w:tcMar>
            <w:vAlign w:val="center"/>
          </w:tcPr>
          <w:p>
            <w:pPr>
              <w:spacing w:after="40" w:before="0" w:line="252" w:lineRule="auto"/>
            </w:pPr>
            <w:r>
              <w:rPr>
                <w:rFonts w:ascii="Calibri" w:hAnsi="Calibri"/>
                <w:sz w:val="16"/>
              </w:rPr>
              <w:t>Project allow-list; response minimization; cache controls.</w:t>
            </w:r>
          </w:p>
        </w:tc>
      </w:tr>
    </w:tbl>
    <w:p>
      <w:pPr>
        <w:spacing w:after="0"/>
      </w:pPr>
    </w:p>
    <w:p>
      <w:pPr>
        <w:pStyle w:val="Heading2"/>
      </w:pPr>
      <w:r>
        <w:t>Implementation flow</w:t>
      </w:r>
    </w:p>
    <w:p>
      <w:pPr>
        <w:numPr>
          <w:ilvl w:val="0"/>
          <w:numId w:val="10"/>
        </w:numPr>
        <w:spacing w:after="80"/>
      </w:pPr>
      <w:r>
        <w:t>Create shared verifySession, requirePermission, parseJson and secureError helpers. The guard must execute before reading a sensitive body or performing a side effect.</w:t>
      </w:r>
    </w:p>
    <w:p>
      <w:pPr>
        <w:numPr>
          <w:ilvl w:val="0"/>
          <w:numId w:val="10"/>
        </w:numPr>
        <w:spacing w:after="80"/>
      </w:pPr>
      <w:r>
        <w:t>Inventory every app/api route and exported function. Assign one policy: public, authenticated, permission-restricted, provider-signed, or internal-job. Any unclassified route defaults to denied.</w:t>
      </w:r>
    </w:p>
    <w:p>
      <w:pPr>
        <w:numPr>
          <w:ilvl w:val="0"/>
          <w:numId w:val="10"/>
        </w:numPr>
        <w:spacing w:after="80"/>
      </w:pPr>
      <w:r>
        <w:t>Add schema validation and bounded payload sizes. Ignore client-provided actor, role, price, ownership or status when the server can derive it.</w:t>
      </w:r>
    </w:p>
    <w:p>
      <w:pPr>
        <w:numPr>
          <w:ilvl w:val="0"/>
          <w:numId w:val="10"/>
        </w:numPr>
        <w:spacing w:after="80"/>
      </w:pPr>
      <w:r>
        <w:t>Restrict CORS to the exact deployed application origins. Remember that CORS is browser policy, not authentication; keep token verification.</w:t>
      </w:r>
    </w:p>
    <w:p>
      <w:pPr>
        <w:numPr>
          <w:ilvl w:val="0"/>
          <w:numId w:val="10"/>
        </w:numPr>
        <w:spacing w:after="80"/>
      </w:pPr>
      <w:r>
        <w:t>Make SchoolPay verification unconditional in production. Verify the signature over the exact raw payload, enforce timestamp tolerance, store provider event ID, and transact event processing so retries return the prior result.</w:t>
      </w:r>
    </w:p>
    <w:p>
      <w:pPr>
        <w:numPr>
          <w:ilvl w:val="0"/>
          <w:numId w:val="10"/>
        </w:numPr>
        <w:spacing w:after="80"/>
      </w:pPr>
      <w:r>
        <w:t>Make cron fail closed when CRON_SECRET is missing. Accept only a constant-time-checked bearer header; remove query-string and user-agent exceptions.</w:t>
      </w:r>
    </w:p>
    <w:p>
      <w:pPr>
        <w:numPr>
          <w:ilvl w:val="0"/>
          <w:numId w:val="10"/>
        </w:numPr>
        <w:spacing w:after="80"/>
      </w:pPr>
      <w:r>
        <w:t>For scheduled SMS, atomically acquire a lease with worker ID and expiry before sending. Store a deterministic idempotency key. A retry may resume expired work but must not resend a completed item.</w:t>
      </w:r>
    </w:p>
    <w:p>
      <w:pPr>
        <w:numPr>
          <w:ilvl w:val="0"/>
          <w:numId w:val="10"/>
        </w:numPr>
        <w:spacing w:after="80"/>
      </w:pPr>
      <w:r>
        <w:t>Separate provider acceptance from delivery. Do not treat every HTTP 2xx as final success; persist provider reference and reconcile delivery status where supported.</w:t>
      </w:r>
    </w:p>
    <w:p>
      <w:pPr>
        <w:numPr>
          <w:ilvl w:val="0"/>
          <w:numId w:val="10"/>
        </w:numPr>
        <w:spacing w:after="80"/>
      </w:pPr>
      <w:r>
        <w:t>Return generic client errors and structured internal logs with request ID, actor UID, route, result and latency; redact secrets, tokens, passwords and sensitive message contents.</w:t>
      </w:r>
    </w:p>
    <w:p>
      <w:pPr>
        <w:pStyle w:val="Heading2"/>
      </w:pPr>
      <w:r>
        <w:t>Acceptance gate</w:t>
      </w:r>
    </w:p>
    <w:p>
      <w:pPr>
        <w:numPr>
          <w:ilvl w:val="0"/>
          <w:numId w:val="12"/>
        </w:numPr>
        <w:spacing w:after="80"/>
      </w:pPr>
      <w:r>
        <w:t>Every mutating route and exported function has a documented policy and negative authorization test.</w:t>
      </w:r>
    </w:p>
    <w:p>
      <w:pPr>
        <w:numPr>
          <w:ilvl w:val="0"/>
          <w:numId w:val="12"/>
        </w:numPr>
        <w:spacing w:after="80"/>
      </w:pPr>
      <w:r>
        <w:t>Missing SchoolPay signature, stale timestamp, changed body and replayed event are rejected.</w:t>
      </w:r>
    </w:p>
    <w:p>
      <w:pPr>
        <w:numPr>
          <w:ilvl w:val="0"/>
          <w:numId w:val="12"/>
        </w:numPr>
        <w:spacing w:after="80"/>
      </w:pPr>
      <w:r>
        <w:t>Missing cron secret causes startup/configuration failure or 503—not authorization success.</w:t>
      </w:r>
    </w:p>
    <w:p>
      <w:pPr>
        <w:numPr>
          <w:ilvl w:val="0"/>
          <w:numId w:val="12"/>
        </w:numPr>
        <w:spacing w:after="80"/>
      </w:pPr>
      <w:r>
        <w:t>Parallel SMS job invocations produce one provider send per logical message.</w:t>
      </w:r>
    </w:p>
    <w:p>
      <w:pPr>
        <w:numPr>
          <w:ilvl w:val="0"/>
          <w:numId w:val="12"/>
        </w:numPr>
        <w:spacing w:after="80"/>
      </w:pPr>
      <w:r>
        <w:t>Cost caps, rate limits and audit records are verified for SMS/recharge/bulk actions.</w:t>
      </w:r>
    </w:p>
    <w:p>
      <w:pPr>
        <w:pStyle w:val="Heading1"/>
      </w:pPr>
      <w:r>
        <w:t>Phase 6 — Correct data integrity and output safety</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P1</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4–6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Domain/data lead</w:t>
            </w:r>
          </w:p>
        </w:tc>
      </w:tr>
    </w:tbl>
    <w:p>
      <w:pPr>
        <w:spacing w:after="0"/>
      </w:pPr>
    </w:p>
    <w:p>
      <w:pPr>
        <w:spacing w:after="100"/>
      </w:pPr>
      <w:r>
        <w:rPr>
          <w:b/>
          <w:color w:val="1F4D78"/>
        </w:rPr>
        <w:t xml:space="preserve">Problem: </w:t>
      </w:r>
      <w:r>
        <w:t>Sample payments and academic-year data can appear when real reads are empty or fail. Firestore/user text is inserted into printable HTML via document.write without escaping. Some multi-record business updates do not have explicit transaction boundaries.</w:t>
      </w:r>
    </w:p>
    <w:p>
      <w:pPr>
        <w:spacing w:after="100"/>
      </w:pPr>
      <w:r>
        <w:rPr>
          <w:b/>
          <w:color w:val="1F4D78"/>
        </w:rPr>
        <w:t xml:space="preserve">Risk: </w:t>
      </w:r>
      <w:r>
        <w:t>Users can act on fabricated financial information, errors are hidden as believable data, stored content can execute script in a print window, and partial updates can leave fees/payments/attendance inconsistent.</w:t>
      </w:r>
    </w:p>
    <w:p>
      <w:pPr>
        <w:pStyle w:val="Heading2"/>
      </w:pPr>
      <w:r>
        <w:t>Implementation flow</w:t>
      </w:r>
    </w:p>
    <w:p>
      <w:pPr>
        <w:numPr>
          <w:ilvl w:val="0"/>
          <w:numId w:val="10"/>
        </w:numPr>
        <w:spacing w:after="80"/>
      </w:pPr>
      <w:r>
        <w:t>Remove runtime sample fallbacks from use-payments.ts and fees/page.tsx. Place demo fixtures behind an explicit development-only seed command or demo environment flag that cannot be enabled in production.</w:t>
      </w:r>
    </w:p>
    <w:p>
      <w:pPr>
        <w:numPr>
          <w:ilvl w:val="0"/>
          <w:numId w:val="10"/>
        </w:numPr>
        <w:spacing w:after="80"/>
      </w:pPr>
      <w:r>
        <w:t>Render distinct states: loading, genuine empty result, permission denied, retryable service error, and configuration error. Never translate an error into business data.</w:t>
      </w:r>
    </w:p>
    <w:p>
      <w:pPr>
        <w:numPr>
          <w:ilvl w:val="0"/>
          <w:numId w:val="10"/>
        </w:numPr>
        <w:spacing w:after="80"/>
      </w:pPr>
      <w:r>
        <w:t>Create typed Firestore converters and Zod schemas for user, pupil, fee, payment, attendance, notification and integration payloads. Normalize timestamps, optional values and money units at the boundary.</w:t>
      </w:r>
    </w:p>
    <w:p>
      <w:pPr>
        <w:numPr>
          <w:ilvl w:val="0"/>
          <w:numId w:val="10"/>
        </w:numPr>
        <w:spacing w:after="80"/>
      </w:pPr>
      <w:r>
        <w:t>Define invariants for financial and enrollment flows—for example payment amount &gt; 0, immutable provider event ID, adjustment year matches viewed year, and balance equals authoritative ledger calculation.</w:t>
      </w:r>
    </w:p>
    <w:p>
      <w:pPr>
        <w:numPr>
          <w:ilvl w:val="0"/>
          <w:numId w:val="10"/>
        </w:numPr>
        <w:spacing w:after="80"/>
      </w:pPr>
      <w:r>
        <w:t>Use Firestore transactions or idempotent server commands for multi-document operations. Store actor UID, request ID and before/after summary for sensitive changes.</w:t>
      </w:r>
    </w:p>
    <w:p>
      <w:pPr>
        <w:numPr>
          <w:ilvl w:val="0"/>
          <w:numId w:val="10"/>
        </w:numPr>
        <w:spacing w:after="80"/>
      </w:pPr>
      <w:r>
        <w:t>Replace raw string interpolation into document.write with DOM/text-node construction or a proven escaping/template layer. Encode text and validate URLs; do not permit arbitrary HTML from Firestore.</w:t>
      </w:r>
    </w:p>
    <w:p>
      <w:pPr>
        <w:numPr>
          <w:ilvl w:val="0"/>
          <w:numId w:val="10"/>
        </w:numPr>
        <w:spacing w:after="80"/>
      </w:pPr>
      <w:r>
        <w:t>Add a restrictive Content-Security-Policy and security headers. CSP is defense-in-depth and does not replace output encoding.</w:t>
      </w:r>
    </w:p>
    <w:p>
      <w:pPr>
        <w:pStyle w:val="Heading2"/>
      </w:pPr>
      <w:r>
        <w:t>Acceptance gate</w:t>
      </w:r>
    </w:p>
    <w:p>
      <w:pPr>
        <w:numPr>
          <w:ilvl w:val="0"/>
          <w:numId w:val="12"/>
        </w:numPr>
        <w:spacing w:after="80"/>
      </w:pPr>
      <w:r>
        <w:t>Production empty/error states display no sample payment, pupil, fee or academic-year records.</w:t>
      </w:r>
    </w:p>
    <w:p>
      <w:pPr>
        <w:numPr>
          <w:ilvl w:val="0"/>
          <w:numId w:val="12"/>
        </w:numPr>
        <w:spacing w:after="80"/>
      </w:pPr>
      <w:r>
        <w:t>Malicious names, comments and addresses render as text in print/PDF flows and do not execute.</w:t>
      </w:r>
    </w:p>
    <w:p>
      <w:pPr>
        <w:numPr>
          <w:ilvl w:val="0"/>
          <w:numId w:val="12"/>
        </w:numPr>
        <w:spacing w:after="80"/>
      </w:pPr>
      <w:r>
        <w:t>Duplicate payment/webhook commands are idempotent.</w:t>
      </w:r>
    </w:p>
    <w:p>
      <w:pPr>
        <w:numPr>
          <w:ilvl w:val="0"/>
          <w:numId w:val="12"/>
        </w:numPr>
        <w:spacing w:after="80"/>
      </w:pPr>
      <w:r>
        <w:t>Forced failure between multi-document steps leaves no partial business state.</w:t>
      </w:r>
    </w:p>
    <w:p>
      <w:pPr>
        <w:pStyle w:val="Heading1"/>
      </w:pPr>
      <w:r>
        <w:t>Phase 7 — Restore quality gates, tests and dependency hygiene</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P1</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1–3 weeks, incremental</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Engineering lead</w:t>
            </w:r>
          </w:p>
        </w:tc>
      </w:tr>
    </w:tbl>
    <w:p>
      <w:pPr>
        <w:spacing w:after="0"/>
      </w:pPr>
    </w:p>
    <w:p>
      <w:pPr>
        <w:spacing w:after="100"/>
      </w:pPr>
      <w:r>
        <w:rPr>
          <w:b/>
          <w:color w:val="1F4D78"/>
        </w:rPr>
        <w:t xml:space="preserve">Problem: </w:t>
      </w:r>
      <w:r>
        <w:t>The current snapshot reports 548 TypeScript diagnostics and 3,322 lint findings. next.config.js ignores TypeScript and ESLint during builds, so next build succeeds while explicitly skipping validation. Test and CI coverage are minimal. Dependency audits report critical/high vulnerabilities.</w:t>
      </w:r>
    </w:p>
    <w:p>
      <w:pPr>
        <w:spacing w:after="100"/>
      </w:pPr>
      <w:r>
        <w:rPr>
          <w:b/>
          <w:color w:val="1F4D78"/>
        </w:rPr>
        <w:t xml:space="preserve">Risk: </w:t>
      </w:r>
      <w:r>
        <w:t>Unsafe refactors and authorization regressions can deploy undetected. Blind dependency upgrades can also break PDF, routing, UI and provider integration paths.</w:t>
      </w:r>
    </w:p>
    <w:p>
      <w:pPr>
        <w:pStyle w:val="Heading2"/>
      </w:pPr>
      <w:r>
        <w:t>Baseline and burn-down method</w:t>
      </w:r>
    </w:p>
    <w:p>
      <w:pPr>
        <w:numPr>
          <w:ilvl w:val="0"/>
          <w:numId w:val="10"/>
        </w:numPr>
        <w:spacing w:after="80"/>
      </w:pPr>
      <w:r>
        <w:t>Commit machine-readable baselines for TypeScript, ESLint and dependency audit counts. CI first fails only when a pull request increases the baseline, preventing new debt without requiring a big-bang cleanup.</w:t>
      </w:r>
    </w:p>
    <w:p>
      <w:pPr>
        <w:numPr>
          <w:ilvl w:val="0"/>
          <w:numId w:val="10"/>
        </w:numPr>
        <w:spacing w:after="80"/>
      </w:pPr>
      <w:r>
        <w:t>Fix by risk and shared impact: auth/API/rules types first; shared services and hooks second; financial/attendance/reporting flows third; page-level and style-only findings last.</w:t>
      </w:r>
    </w:p>
    <w:p>
      <w:pPr>
        <w:numPr>
          <w:ilvl w:val="0"/>
          <w:numId w:val="10"/>
        </w:numPr>
        <w:spacing w:after="80"/>
      </w:pPr>
      <w:r>
        <w:t>Add unit tests for permission mapping, converters, validation and escaping; emulator integration tests for rules; route tests for 401/403/validation/idempotency; and browser E2E tests for critical workflows.</w:t>
      </w:r>
    </w:p>
    <w:p>
      <w:pPr>
        <w:numPr>
          <w:ilvl w:val="0"/>
          <w:numId w:val="10"/>
        </w:numPr>
        <w:spacing w:after="80"/>
      </w:pPr>
      <w:r>
        <w:t>Reduce the allowed baseline after every merged fix. When a category reaches zero, replace the baseline with a strict zero gate.</w:t>
      </w:r>
    </w:p>
    <w:p>
      <w:pPr>
        <w:numPr>
          <w:ilvl w:val="0"/>
          <w:numId w:val="10"/>
        </w:numPr>
        <w:spacing w:after="80"/>
      </w:pPr>
      <w:r>
        <w:t>Remove ignoreDuringBuilds and ignoreDuringBuilds-like ESLint bypasses only after the corresponding command is green locally and in CI.</w:t>
      </w:r>
    </w:p>
    <w:p>
      <w:pPr>
        <w:numPr>
          <w:ilvl w:val="0"/>
          <w:numId w:val="10"/>
        </w:numPr>
        <w:spacing w:after="80"/>
      </w:pPr>
      <w:r>
        <w:t>Upgrade vulnerable direct dependencies one family at a time on separate branches. Inspect advisories and reachable usage, apply the smallest supported version, run focused tests, then the full suite.</w:t>
      </w:r>
    </w:p>
    <w:p>
      <w:pPr>
        <w:numPr>
          <w:ilvl w:val="0"/>
          <w:numId w:val="10"/>
        </w:numPr>
        <w:spacing w:after="80"/>
      </w:pPr>
      <w:r>
        <w:t>Repair the functions lint setup for the repository's ESLint version or isolate functions with its own pinned configuration. CI must lint both root and functions packages.</w:t>
      </w:r>
    </w:p>
    <w:p>
      <w:pPr>
        <w:pStyle w:val="Heading2"/>
      </w:pPr>
      <w:r>
        <w:t>Required CI pipeline</w:t>
      </w:r>
    </w:p>
    <w:tbl>
      <w:tblPr>
        <w:tblStyle w:val="TableGrid"/>
        <w:tblW w:type="dxa" w:w="9360"/>
        <w:jc w:val="center"/>
        <w:tblLayout w:type="fixed"/>
        <w:tblLook w:firstColumn="1" w:firstRow="1" w:lastColumn="0" w:lastRow="0" w:noHBand="0" w:noVBand="1" w:val="04A0"/>
        <w:tblInd w:w="120" w:type="dxa"/>
      </w:tblPr>
      <w:tblGrid>
        <w:gridCol w:w="1656"/>
        <w:gridCol w:w="3888"/>
        <w:gridCol w:w="3816"/>
      </w:tblGrid>
      <w:tr>
        <w:trPr>
          <w:tblHeader w:val="true"/>
        </w:trPr>
        <w:tc>
          <w:tcPr>
            <w:tcW w:type="dxa" w:w="1656"/>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Gate</w:t>
            </w:r>
          </w:p>
        </w:tc>
        <w:tc>
          <w:tcPr>
            <w:tcW w:type="dxa" w:w="3888"/>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Command/control</w:t>
            </w:r>
          </w:p>
        </w:tc>
        <w:tc>
          <w:tcPr>
            <w:tcW w:type="dxa" w:w="3816"/>
            <w:tcMar>
              <w:top w:w="80" w:type="dxa"/>
              <w:start w:w="120" w:type="dxa"/>
              <w:bottom w:w="80" w:type="dxa"/>
              <w:end w:w="120" w:type="dxa"/>
            </w:tcMar>
            <w:vAlign w:val="center"/>
            <w:shd w:fill="E8EEF5"/>
          </w:tcPr>
          <w:p>
            <w:pPr>
              <w:spacing w:after="40" w:before="0" w:line="252" w:lineRule="auto"/>
            </w:pPr>
            <w:r>
              <w:rPr>
                <w:rFonts w:ascii="Calibri" w:hAnsi="Calibri"/>
                <w:b/>
                <w:color w:val="17365D"/>
                <w:sz w:val="16"/>
              </w:rPr>
              <w:t>Pass condition</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Install</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npm ci at root and functions</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Lockfiles reproduce without changes.</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Types</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npm run typecheck</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No new diagnostics; ultimately zero.</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Lint</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Root and functions lint</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No new findings; ultimately zero errors.</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Unit/integration</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Test runner + Firebase emulators</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All authorization, rules and domain tests pass.</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Build</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npx next build</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Build passes with validation enabled.</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Security</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npm audit plus secret/dependency scanning</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No unaccepted critical/high production vulnerability.</w:t>
            </w:r>
          </w:p>
        </w:tc>
      </w:tr>
      <w:tr>
        <w:tc>
          <w:tcPr>
            <w:tcW w:type="dxa" w:w="1656"/>
            <w:tcMar>
              <w:top w:w="80" w:type="dxa"/>
              <w:start w:w="120" w:type="dxa"/>
              <w:bottom w:w="80" w:type="dxa"/>
              <w:end w:w="120" w:type="dxa"/>
            </w:tcMar>
            <w:vAlign w:val="center"/>
          </w:tcPr>
          <w:p>
            <w:pPr>
              <w:spacing w:after="40" w:before="0" w:line="252" w:lineRule="auto"/>
            </w:pPr>
            <w:r>
              <w:rPr>
                <w:rFonts w:ascii="Calibri" w:hAnsi="Calibri"/>
                <w:sz w:val="16"/>
              </w:rPr>
              <w:t>E2E</w:t>
            </w:r>
          </w:p>
        </w:tc>
        <w:tc>
          <w:tcPr>
            <w:tcW w:type="dxa" w:w="3888"/>
            <w:tcMar>
              <w:top w:w="80" w:type="dxa"/>
              <w:start w:w="120" w:type="dxa"/>
              <w:bottom w:w="80" w:type="dxa"/>
              <w:end w:w="120" w:type="dxa"/>
            </w:tcMar>
            <w:vAlign w:val="center"/>
          </w:tcPr>
          <w:p>
            <w:pPr>
              <w:spacing w:after="40" w:before="0" w:line="252" w:lineRule="auto"/>
            </w:pPr>
            <w:r>
              <w:rPr>
                <w:rFonts w:ascii="Calibri" w:hAnsi="Calibri"/>
                <w:sz w:val="16"/>
              </w:rPr>
              <w:t>Critical browser smoke suite</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6"/>
              </w:rPr>
              <w:t>Login, permissions, core records, payments, messaging and logout pass.</w:t>
            </w:r>
          </w:p>
        </w:tc>
      </w:tr>
    </w:tbl>
    <w:p>
      <w:pPr>
        <w:spacing w:after="0"/>
      </w:pPr>
    </w:p>
    <w:p>
      <w:pPr>
        <w:pStyle w:val="Heading2"/>
      </w:pPr>
      <w:r>
        <w:t>Acceptance gate</w:t>
      </w:r>
    </w:p>
    <w:p>
      <w:pPr>
        <w:numPr>
          <w:ilvl w:val="0"/>
          <w:numId w:val="12"/>
        </w:numPr>
        <w:spacing w:after="80"/>
      </w:pPr>
      <w:r>
        <w:t>No build configuration skips type or lint validation.</w:t>
      </w:r>
    </w:p>
    <w:p>
      <w:pPr>
        <w:numPr>
          <w:ilvl w:val="0"/>
          <w:numId w:val="12"/>
        </w:numPr>
        <w:spacing w:after="80"/>
      </w:pPr>
      <w:r>
        <w:t>TypeScript errors are zero and lint errors are zero; warning policy is explicitly documented.</w:t>
      </w:r>
    </w:p>
    <w:p>
      <w:pPr>
        <w:numPr>
          <w:ilvl w:val="0"/>
          <w:numId w:val="12"/>
        </w:numPr>
        <w:spacing w:after="80"/>
      </w:pPr>
      <w:r>
        <w:t>No unaccepted critical/high production dependency vulnerability remains in root or functions.</w:t>
      </w:r>
    </w:p>
    <w:p>
      <w:pPr>
        <w:numPr>
          <w:ilvl w:val="0"/>
          <w:numId w:val="12"/>
        </w:numPr>
        <w:spacing w:after="80"/>
      </w:pPr>
      <w:r>
        <w:t>Rules, route, integration and critical E2E tests are required status checks.</w:t>
      </w:r>
    </w:p>
    <w:p>
      <w:pPr>
        <w:pStyle w:val="Heading1"/>
      </w:pPr>
      <w:r>
        <w:t>Phase 8 — Repair misleading notification and file-management flows</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P1</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3–5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Feature owners</w:t>
            </w:r>
          </w:p>
        </w:tc>
      </w:tr>
    </w:tbl>
    <w:p>
      <w:pPr>
        <w:spacing w:after="0"/>
      </w:pPr>
    </w:p>
    <w:p>
      <w:pPr>
        <w:spacing w:after="100"/>
      </w:pPr>
      <w:r>
        <w:rPr>
          <w:b/>
          <w:color w:val="1F4D78"/>
        </w:rPr>
        <w:t xml:space="preserve">Problem: </w:t>
      </w:r>
      <w:r>
        <w:t>The notifications page calls an endpoint that intentionally returns 410; send-fcm can report queued while the actual send is commented out. File endpoints lack consistent authentication, size/type/path controls, and may write to local or source paths.</w:t>
      </w:r>
    </w:p>
    <w:p>
      <w:pPr>
        <w:spacing w:after="100"/>
      </w:pPr>
      <w:r>
        <w:rPr>
          <w:b/>
          <w:color w:val="1F4D78"/>
        </w:rPr>
        <w:t xml:space="preserve">Risk: </w:t>
      </w:r>
      <w:r>
        <w:t>Operators believe messages were delivered when no send occurred; public callers can consume storage, overwrite/delete data, or attempt path and content attacks; runtime files may disappear on serverless deployments.</w:t>
      </w:r>
    </w:p>
    <w:p>
      <w:pPr>
        <w:pStyle w:val="Heading2"/>
      </w:pPr>
      <w:r>
        <w:t>Notification flow</w:t>
      </w:r>
    </w:p>
    <w:p>
      <w:pPr>
        <w:numPr>
          <w:ilvl w:val="0"/>
          <w:numId w:val="10"/>
        </w:numPr>
        <w:spacing w:after="80"/>
      </w:pPr>
      <w:r>
        <w:t>Choose one supported send path. Update the UI and endpoint together; remove the 410 route only after no deployed client calls it.</w:t>
      </w:r>
    </w:p>
    <w:p>
      <w:pPr>
        <w:numPr>
          <w:ilvl w:val="0"/>
          <w:numId w:val="10"/>
        </w:numPr>
        <w:spacing w:after="80"/>
      </w:pPr>
      <w:r>
        <w:t>Implement explicit lifecycle states: draft, queued, provider-accepted, delivered, failed, cancelled. Display provider reference and last error to authorized operators.</w:t>
      </w:r>
    </w:p>
    <w:p>
      <w:pPr>
        <w:numPr>
          <w:ilvl w:val="0"/>
          <w:numId w:val="10"/>
        </w:numPr>
        <w:spacing w:after="80"/>
      </w:pPr>
      <w:r>
        <w:t>Use an outbox/queue record with idempotency key and retry policy. The HTTP request should not claim delivery merely because work was queued.</w:t>
      </w:r>
    </w:p>
    <w:p>
      <w:pPr>
        <w:numPr>
          <w:ilvl w:val="0"/>
          <w:numId w:val="10"/>
        </w:numPr>
        <w:spacing w:after="80"/>
      </w:pPr>
      <w:r>
        <w:t>Test a real staging provider or a deterministic provider stub for success, rejection, timeout and duplicate request.</w:t>
      </w:r>
    </w:p>
    <w:p>
      <w:pPr>
        <w:pStyle w:val="Heading2"/>
      </w:pPr>
      <w:r>
        <w:t>File flow</w:t>
      </w:r>
    </w:p>
    <w:p>
      <w:pPr>
        <w:numPr>
          <w:ilvl w:val="0"/>
          <w:numId w:val="10"/>
        </w:numPr>
        <w:spacing w:after="80"/>
      </w:pPr>
      <w:r>
        <w:t>Require a verified user and explicit upload/delete/generate permission before parsing file contents.</w:t>
      </w:r>
    </w:p>
    <w:p>
      <w:pPr>
        <w:numPr>
          <w:ilvl w:val="0"/>
          <w:numId w:val="10"/>
        </w:numPr>
        <w:spacing w:after="80"/>
      </w:pPr>
      <w:r>
        <w:t>Set request, file and count limits; inspect actual MIME signature; generate storage keys on the server; reject path separators and unsupported categories.</w:t>
      </w:r>
    </w:p>
    <w:p>
      <w:pPr>
        <w:numPr>
          <w:ilvl w:val="0"/>
          <w:numId w:val="10"/>
        </w:numPr>
        <w:spacing w:after="80"/>
      </w:pPr>
      <w:r>
        <w:t>Store durable files in Firebase Storage or another object store. Treat local filesystem fallback as development-only and fail closed in production.</w:t>
      </w:r>
    </w:p>
    <w:p>
      <w:pPr>
        <w:numPr>
          <w:ilvl w:val="0"/>
          <w:numId w:val="10"/>
        </w:numPr>
        <w:spacing w:after="80"/>
      </w:pPr>
      <w:r>
        <w:t>Move app-icon generation out of a public runtime route. Generate and review icons during build/release, or protect an internal administrative job that writes only to object storage.</w:t>
      </w:r>
    </w:p>
    <w:p>
      <w:pPr>
        <w:pStyle w:val="Heading2"/>
      </w:pPr>
      <w:r>
        <w:t>Acceptance gate</w:t>
      </w:r>
    </w:p>
    <w:p>
      <w:pPr>
        <w:numPr>
          <w:ilvl w:val="0"/>
          <w:numId w:val="12"/>
        </w:numPr>
        <w:spacing w:after="80"/>
      </w:pPr>
      <w:r>
        <w:t>UI status matches actual queue/provider/delivery state.</w:t>
      </w:r>
    </w:p>
    <w:p>
      <w:pPr>
        <w:numPr>
          <w:ilvl w:val="0"/>
          <w:numId w:val="12"/>
        </w:numPr>
        <w:spacing w:after="80"/>
      </w:pPr>
      <w:r>
        <w:t>Unauthorized and oversized uploads are rejected before storage writes.</w:t>
      </w:r>
    </w:p>
    <w:p>
      <w:pPr>
        <w:numPr>
          <w:ilvl w:val="0"/>
          <w:numId w:val="12"/>
        </w:numPr>
        <w:spacing w:after="80"/>
      </w:pPr>
      <w:r>
        <w:t>Delete cannot escape the allowed user's/object prefix.</w:t>
      </w:r>
    </w:p>
    <w:p>
      <w:pPr>
        <w:numPr>
          <w:ilvl w:val="0"/>
          <w:numId w:val="12"/>
        </w:numPr>
        <w:spacing w:after="80"/>
      </w:pPr>
      <w:r>
        <w:t>Production does not depend on ephemeral local filesystem persistence or runtime source modification.</w:t>
      </w:r>
    </w:p>
    <w:p>
      <w:pPr>
        <w:pStyle w:val="Heading1"/>
      </w:pPr>
      <w:r>
        <w:t>Phase 9 — Reduce data exposure and performance risk</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P2</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3–7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Frontend/performance lead</w:t>
            </w:r>
          </w:p>
        </w:tc>
      </w:tr>
    </w:tbl>
    <w:p>
      <w:pPr>
        <w:spacing w:after="0"/>
      </w:pPr>
    </w:p>
    <w:p>
      <w:pPr>
        <w:spacing w:after="100"/>
      </w:pPr>
      <w:r>
        <w:rPr>
          <w:b/>
          <w:color w:val="1F4D78"/>
        </w:rPr>
        <w:t xml:space="preserve">Problem: </w:t>
      </w:r>
      <w:r>
        <w:t>GlobalDataPreloader loads broad pupil, staff, user, access-level and other datasets for Admin/Staff users. The shared First Load JS is approximately 1.92 MB, including an approximately 1.65 MB vendor chunk. Firestore IndexedDB can persist sensitive data after logout.</w:t>
      </w:r>
    </w:p>
    <w:p>
      <w:pPr>
        <w:spacing w:after="100"/>
      </w:pPr>
      <w:r>
        <w:rPr>
          <w:b/>
          <w:color w:val="1F4D78"/>
        </w:rPr>
        <w:t xml:space="preserve">Risk: </w:t>
      </w:r>
      <w:r>
        <w:t>Users download more personal data than their immediate task requires; compromised or shared devices retain cached school data; startup is slow and memory-heavy, especially on mobile or low-bandwidth connections.</w:t>
      </w:r>
    </w:p>
    <w:p>
      <w:pPr>
        <w:pStyle w:val="Heading2"/>
      </w:pPr>
      <w:r>
        <w:t>Implementation flow</w:t>
      </w:r>
    </w:p>
    <w:p>
      <w:pPr>
        <w:numPr>
          <w:ilvl w:val="0"/>
          <w:numId w:val="10"/>
        </w:numPr>
        <w:spacing w:after="80"/>
      </w:pPr>
      <w:r>
        <w:t>Instrument route load time, query count, document count, transferred bytes and cache hit rate before changing behavior. Set budgets per critical route.</w:t>
      </w:r>
    </w:p>
    <w:p>
      <w:pPr>
        <w:numPr>
          <w:ilvl w:val="0"/>
          <w:numId w:val="10"/>
        </w:numPr>
        <w:spacing w:after="80"/>
      </w:pPr>
      <w:r>
        <w:t>Replace role-wide global preloads with permission-aware and route-aware query manifests. Fetch only fields and records needed for the current screen; paginate large lists.</w:t>
      </w:r>
    </w:p>
    <w:p>
      <w:pPr>
        <w:numPr>
          <w:ilvl w:val="0"/>
          <w:numId w:val="10"/>
        </w:numPr>
        <w:spacing w:after="80"/>
      </w:pPr>
      <w:r>
        <w:t>Keep existing hook/query keys stable while changing the loader behind them so active components do not all need simultaneous edits.</w:t>
      </w:r>
    </w:p>
    <w:p>
      <w:pPr>
        <w:numPr>
          <w:ilvl w:val="0"/>
          <w:numId w:val="10"/>
        </w:numPr>
        <w:spacing w:after="80"/>
      </w:pPr>
      <w:r>
        <w:t>Dynamically import report/PDF/chart/editor modules only on screens that use them. Confirm server/client boundaries and avoid loading multiple competing UI/router stacks.</w:t>
      </w:r>
    </w:p>
    <w:p>
      <w:pPr>
        <w:numPr>
          <w:ilvl w:val="0"/>
          <w:numId w:val="10"/>
        </w:numPr>
        <w:spacing w:after="80"/>
      </w:pPr>
      <w:r>
        <w:t>Define device privacy policy: session-only persistence for sensitive roles or explicit trusted-device choice, bounded cache lifetime, and a tested logout cache-clearing path.</w:t>
      </w:r>
    </w:p>
    <w:p>
      <w:pPr>
        <w:numPr>
          <w:ilvl w:val="0"/>
          <w:numId w:val="10"/>
        </w:numPr>
        <w:spacing w:after="80"/>
      </w:pPr>
      <w:r>
        <w:t>Split very large components only after characterization tests exist. Extract domain logic first, then presentation; do not combine with visual redesign.</w:t>
      </w:r>
    </w:p>
    <w:p>
      <w:pPr>
        <w:pStyle w:val="Heading2"/>
      </w:pPr>
      <w:r>
        <w:t>Acceptance gate</w:t>
      </w:r>
    </w:p>
    <w:p>
      <w:pPr>
        <w:numPr>
          <w:ilvl w:val="0"/>
          <w:numId w:val="12"/>
        </w:numPr>
        <w:spacing w:after="80"/>
      </w:pPr>
      <w:r>
        <w:t>A limited role cannot preload collections outside its permissions.</w:t>
      </w:r>
    </w:p>
    <w:p>
      <w:pPr>
        <w:numPr>
          <w:ilvl w:val="0"/>
          <w:numId w:val="12"/>
        </w:numPr>
        <w:spacing w:after="80"/>
      </w:pPr>
      <w:r>
        <w:t>Critical routes meet agreed document-count, bundle and load-time budgets.</w:t>
      </w:r>
    </w:p>
    <w:p>
      <w:pPr>
        <w:numPr>
          <w:ilvl w:val="0"/>
          <w:numId w:val="12"/>
        </w:numPr>
        <w:spacing w:after="80"/>
      </w:pPr>
      <w:r>
        <w:t>Logout and account switching do not reveal the previous user's cached records.</w:t>
      </w:r>
    </w:p>
    <w:p>
      <w:pPr>
        <w:numPr>
          <w:ilvl w:val="0"/>
          <w:numId w:val="12"/>
        </w:numPr>
        <w:spacing w:after="80"/>
      </w:pPr>
      <w:r>
        <w:t>PDF/report functionality still works after lazy loading.</w:t>
      </w:r>
    </w:p>
    <w:p>
      <w:pPr>
        <w:pStyle w:val="Heading1"/>
      </w:pPr>
      <w:r>
        <w:t>Phase 10 — Remove proven redundancy and standardize deployment</w:t>
      </w:r>
    </w:p>
    <w:tbl>
      <w:tblPr>
        <w:tblStyle w:val="TableGrid"/>
        <w:tblW w:type="dxa" w:w="9360"/>
        <w:jc w:val="center"/>
        <w:tblLayout w:type="fixed"/>
        <w:tblLook w:firstColumn="1" w:firstRow="1" w:lastColumn="0" w:lastRow="0" w:noHBand="0" w:noVBand="1" w:val="04A0"/>
        <w:tblInd w:w="120" w:type="dxa"/>
      </w:tblPr>
      <w:tblGrid>
        <w:gridCol w:w="2160"/>
        <w:gridCol w:w="2880"/>
        <w:gridCol w:w="4320"/>
      </w:tblGrid>
      <w:tr>
        <w:trPr>
          <w:tblHeader w:val="true"/>
        </w:trPr>
        <w:tc>
          <w:tcPr>
            <w:tcW w:type="dxa" w:w="216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Priority</w:t>
              <w:br/>
            </w:r>
            <w:r>
              <w:rPr>
                <w:rFonts w:ascii="Calibri" w:hAnsi="Calibri"/>
                <w:sz w:val="18"/>
              </w:rPr>
              <w:t>P2</w:t>
            </w:r>
          </w:p>
        </w:tc>
        <w:tc>
          <w:tcPr>
            <w:tcW w:type="dxa" w:w="288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Indicative duration</w:t>
              <w:br/>
            </w:r>
            <w:r>
              <w:rPr>
                <w:rFonts w:ascii="Calibri" w:hAnsi="Calibri"/>
                <w:sz w:val="18"/>
              </w:rPr>
              <w:t>3–5 days</w:t>
            </w:r>
          </w:p>
        </w:tc>
        <w:tc>
          <w:tcPr>
            <w:tcW w:type="dxa" w:w="4320"/>
            <w:shd w:fill="F3F7FB"/>
            <w:tcMar>
              <w:top w:w="80" w:type="dxa"/>
              <w:start w:w="120" w:type="dxa"/>
              <w:bottom w:w="80" w:type="dxa"/>
              <w:end w:w="120" w:type="dxa"/>
            </w:tcMar>
            <w:vAlign w:val="center"/>
          </w:tcPr>
          <w:p>
            <w:pPr>
              <w:spacing w:after="40" w:before="0" w:line="252" w:lineRule="auto"/>
            </w:pPr>
            <w:r>
              <w:rPr>
                <w:rFonts w:ascii="Calibri" w:hAnsi="Calibri"/>
                <w:b/>
                <w:color w:val="1F4D78"/>
                <w:sz w:val="18"/>
              </w:rPr>
              <w:t>Primary owner</w:t>
              <w:br/>
            </w:r>
            <w:r>
              <w:rPr>
                <w:rFonts w:ascii="Calibri" w:hAnsi="Calibri"/>
                <w:sz w:val="18"/>
              </w:rPr>
              <w:t>Technical lead + operations</w:t>
            </w:r>
          </w:p>
        </w:tc>
      </w:tr>
    </w:tbl>
    <w:p>
      <w:pPr>
        <w:spacing w:after="0"/>
      </w:pPr>
    </w:p>
    <w:p>
      <w:pPr>
        <w:spacing w:after="100"/>
      </w:pPr>
      <w:r>
        <w:rPr>
          <w:b/>
          <w:color w:val="1F4D78"/>
        </w:rPr>
        <w:t xml:space="preserve">Problem: </w:t>
      </w:r>
      <w:r>
        <w:t>The repository contains zero-byte source/assets, an unreferenced PDF component and image, duplicate loading components/folders, 56 maintenance scripts, multiple confusing Firestore index variants, likely unused dependency families, and conflicting Firebase/Vercel/Node deployment declarations.</w:t>
      </w:r>
    </w:p>
    <w:p>
      <w:pPr>
        <w:spacing w:after="100"/>
      </w:pPr>
      <w:r>
        <w:rPr>
          <w:b/>
          <w:color w:val="1F4D78"/>
        </w:rPr>
        <w:t xml:space="preserve">Risk: </w:t>
      </w:r>
      <w:r>
        <w:t>Deleting too early can break dynamic or operational flows; leaving everything increases maintenance cost, bundle size, deployment ambiguity, and the chance that engineers modify the wrong file or index set.</w:t>
      </w:r>
    </w:p>
    <w:p>
      <w:pPr>
        <w:pStyle w:val="Heading2"/>
      </w:pPr>
      <w:r>
        <w:t>Safe cleanup flow</w:t>
      </w:r>
    </w:p>
    <w:p>
      <w:pPr>
        <w:numPr>
          <w:ilvl w:val="0"/>
          <w:numId w:val="10"/>
        </w:numPr>
        <w:spacing w:after="80"/>
      </w:pPr>
      <w:r>
        <w:t>For each candidate, run static import search, filename/string search, build trace review, deployment/config search, and operational-owner interview. Dynamic paths and scripts require runtime evidence, not only TypeScript imports.</w:t>
      </w:r>
    </w:p>
    <w:p>
      <w:pPr>
        <w:numPr>
          <w:ilvl w:val="0"/>
          <w:numId w:val="10"/>
        </w:numPr>
        <w:spacing w:after="80"/>
      </w:pPr>
      <w:r>
        <w:t>Move candidates to an archive branch or quarantine folder in a dedicated pull request. Run the full suite and observe one release cycle before permanent deletion.</w:t>
      </w:r>
    </w:p>
    <w:p>
      <w:pPr>
        <w:numPr>
          <w:ilvl w:val="0"/>
          <w:numId w:val="10"/>
        </w:numPr>
        <w:spacing w:after="80"/>
      </w:pPr>
      <w:r>
        <w:t>Replace zero-byte default-logo and student-avatar assets with valid reviewed assets before removing fallbacks; default-logo is currently referenced.</w:t>
      </w:r>
    </w:p>
    <w:p>
      <w:pPr>
        <w:numPr>
          <w:ilvl w:val="0"/>
          <w:numId w:val="10"/>
        </w:numPr>
        <w:spacing w:after="80"/>
      </w:pPr>
      <w:r>
        <w:t>Consolidate duplicate context/component/service folders using re-export shims. Update imports mechanically, verify, then remove shims in a later release.</w:t>
      </w:r>
    </w:p>
    <w:p>
      <w:pPr>
        <w:numPr>
          <w:ilvl w:val="0"/>
          <w:numId w:val="10"/>
        </w:numPr>
        <w:spacing w:after="80"/>
      </w:pPr>
      <w:r>
        <w:t>Rename Firestore index files by purpose and designate exactly one generated/deployed source of truth. Validate indexes against emulator/staging query inventory.</w:t>
      </w:r>
    </w:p>
    <w:p>
      <w:pPr>
        <w:numPr>
          <w:ilvl w:val="0"/>
          <w:numId w:val="10"/>
        </w:numPr>
        <w:spacing w:after="80"/>
      </w:pPr>
      <w:r>
        <w:t>Remove unused dependencies one at a time and compare build output and runtime workflows. Pay special attention to react-router-dom, MUI/Emotion, QR libraries, patch-package and Genkit-related packages.</w:t>
      </w:r>
    </w:p>
    <w:p>
      <w:pPr>
        <w:numPr>
          <w:ilvl w:val="0"/>
          <w:numId w:val="10"/>
        </w:numPr>
        <w:spacing w:after="80"/>
      </w:pPr>
      <w:r>
        <w:t>Choose one canonical application hosting architecture. If Vercel hosts Next.js, document Firebase as backend services and remove misleading Firebase Hosting out configuration. If Firebase hosts the app, use a supported Next server integration—not static out with API routes.</w:t>
      </w:r>
    </w:p>
    <w:p>
      <w:pPr>
        <w:numPr>
          <w:ilvl w:val="0"/>
          <w:numId w:val="10"/>
        </w:numPr>
        <w:spacing w:after="80"/>
      </w:pPr>
      <w:r>
        <w:t>Align Node runtime declarations across firebase.json, functions/package.json, local tooling and CI. Verify supported runtime before deployment.</w:t>
      </w:r>
    </w:p>
    <w:p>
      <w:pPr>
        <w:pStyle w:val="Heading2"/>
      </w:pPr>
      <w:r>
        <w:t>Acceptance gate</w:t>
      </w:r>
    </w:p>
    <w:p>
      <w:pPr>
        <w:numPr>
          <w:ilvl w:val="0"/>
          <w:numId w:val="12"/>
        </w:numPr>
        <w:spacing w:after="80"/>
      </w:pPr>
      <w:r>
        <w:t>Every deleted item has evidence of no static, dynamic, deployment or operational use.</w:t>
      </w:r>
    </w:p>
    <w:p>
      <w:pPr>
        <w:numPr>
          <w:ilvl w:val="0"/>
          <w:numId w:val="12"/>
        </w:numPr>
        <w:spacing w:after="80"/>
      </w:pPr>
      <w:r>
        <w:t>Exactly one Firestore index source and one application hosting architecture are documented.</w:t>
      </w:r>
    </w:p>
    <w:p>
      <w:pPr>
        <w:numPr>
          <w:ilvl w:val="0"/>
          <w:numId w:val="12"/>
        </w:numPr>
        <w:spacing w:after="80"/>
      </w:pPr>
      <w:r>
        <w:t>Root and functions Node versions agree and are supported by the chosen platform.</w:t>
      </w:r>
    </w:p>
    <w:p>
      <w:pPr>
        <w:numPr>
          <w:ilvl w:val="0"/>
          <w:numId w:val="12"/>
        </w:numPr>
        <w:spacing w:after="80"/>
      </w:pPr>
      <w:r>
        <w:t>Fresh-clone install, test, build and staging deploy reproduce successfully.</w:t>
      </w:r>
    </w:p>
    <w:p>
      <w:pPr>
        <w:pStyle w:val="Heading1"/>
      </w:pPr>
      <w:r>
        <w:t>Recommended pull-request sequence</w:t>
      </w:r>
    </w:p>
    <w:p>
      <w:r>
        <w:t>The following sequence keeps each change reviewable and reversible. A pull request may be split further, but dependencies should not be reordered without documenting the reason.</w:t>
      </w:r>
    </w:p>
    <w:tbl>
      <w:tblPr>
        <w:tblStyle w:val="TableGrid"/>
        <w:tblW w:type="dxa" w:w="9360"/>
        <w:jc w:val="center"/>
        <w:tblLayout w:type="fixed"/>
        <w:tblLook w:firstColumn="1" w:firstRow="1" w:lastColumn="0" w:lastRow="0" w:noHBand="0" w:noVBand="1" w:val="04A0"/>
        <w:tblInd w:w="120" w:type="dxa"/>
      </w:tblPr>
      <w:tblGrid>
        <w:gridCol w:w="648"/>
        <w:gridCol w:w="3816"/>
        <w:gridCol w:w="1944"/>
        <w:gridCol w:w="2952"/>
      </w:tblGrid>
      <w:tr>
        <w:trPr>
          <w:tblHeader w:val="true"/>
        </w:trPr>
        <w:tc>
          <w:tcPr>
            <w:tcW w:type="dxa" w:w="648"/>
            <w:tcMar>
              <w:top w:w="80" w:type="dxa"/>
              <w:start w:w="120" w:type="dxa"/>
              <w:bottom w:w="80" w:type="dxa"/>
              <w:end w:w="120" w:type="dxa"/>
            </w:tcMar>
            <w:vAlign w:val="center"/>
            <w:shd w:fill="E8EEF5"/>
          </w:tcPr>
          <w:p>
            <w:pPr>
              <w:spacing w:after="40" w:before="0" w:line="252" w:lineRule="auto"/>
            </w:pPr>
            <w:r>
              <w:rPr>
                <w:rFonts w:ascii="Calibri" w:hAnsi="Calibri"/>
                <w:b/>
                <w:color w:val="17365D"/>
                <w:sz w:val="15"/>
              </w:rPr>
              <w:t>PR</w:t>
            </w:r>
          </w:p>
        </w:tc>
        <w:tc>
          <w:tcPr>
            <w:tcW w:type="dxa" w:w="3816"/>
            <w:tcMar>
              <w:top w:w="80" w:type="dxa"/>
              <w:start w:w="120" w:type="dxa"/>
              <w:bottom w:w="80" w:type="dxa"/>
              <w:end w:w="120" w:type="dxa"/>
            </w:tcMar>
            <w:vAlign w:val="center"/>
            <w:shd w:fill="E8EEF5"/>
          </w:tcPr>
          <w:p>
            <w:pPr>
              <w:spacing w:after="40" w:before="0" w:line="252" w:lineRule="auto"/>
            </w:pPr>
            <w:r>
              <w:rPr>
                <w:rFonts w:ascii="Calibri" w:hAnsi="Calibri"/>
                <w:b/>
                <w:color w:val="17365D"/>
                <w:sz w:val="15"/>
              </w:rPr>
              <w:t>Scope</w:t>
            </w:r>
          </w:p>
        </w:tc>
        <w:tc>
          <w:tcPr>
            <w:tcW w:type="dxa" w:w="1944"/>
            <w:tcMar>
              <w:top w:w="80" w:type="dxa"/>
              <w:start w:w="120" w:type="dxa"/>
              <w:bottom w:w="80" w:type="dxa"/>
              <w:end w:w="120" w:type="dxa"/>
            </w:tcMar>
            <w:vAlign w:val="center"/>
            <w:shd w:fill="E8EEF5"/>
          </w:tcPr>
          <w:p>
            <w:pPr>
              <w:spacing w:after="40" w:before="0" w:line="252" w:lineRule="auto"/>
            </w:pPr>
            <w:r>
              <w:rPr>
                <w:rFonts w:ascii="Calibri" w:hAnsi="Calibri"/>
                <w:b/>
                <w:color w:val="17365D"/>
                <w:sz w:val="15"/>
              </w:rPr>
              <w:t>Depends on</w:t>
            </w:r>
          </w:p>
        </w:tc>
        <w:tc>
          <w:tcPr>
            <w:tcW w:type="dxa" w:w="2952"/>
            <w:tcMar>
              <w:top w:w="80" w:type="dxa"/>
              <w:start w:w="120" w:type="dxa"/>
              <w:bottom w:w="80" w:type="dxa"/>
              <w:end w:w="120" w:type="dxa"/>
            </w:tcMar>
            <w:vAlign w:val="center"/>
            <w:shd w:fill="E8EEF5"/>
          </w:tcPr>
          <w:p>
            <w:pPr>
              <w:spacing w:after="40" w:before="0" w:line="252" w:lineRule="auto"/>
            </w:pPr>
            <w:r>
              <w:rPr>
                <w:rFonts w:ascii="Calibri" w:hAnsi="Calibri"/>
                <w:b/>
                <w:color w:val="17365D"/>
                <w:sz w:val="15"/>
              </w:rPr>
              <w:t>Safe merge evidence</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01</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Rotate/revoke secrets; remove source fallbacks; add secret scanning</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Phase 0</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Provider smoke test; old credential rejected</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02</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Remove/protect admin setup and emergency costly endpoint guards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01</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Anonymous negative tests; admin continuity test</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03</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Server login endpoint and legacy verifier</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01</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Login unit/rate-limit/negative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04</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Firebase session/AuthContext compatibility bridge and cache-safe logout</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03</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Role workflow parity; storage tamper test</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05</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Canonical user model, permission registry, dry-run migration</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04</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Conflict report; permission diff approval</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06</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Dual read/write adapters and staged user migration</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05</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Cohort metrics and rollback test</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07</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Firestore/Storage emulator rules suite</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05</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Allow/deny matrix passes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08</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Staged deny-by-default rules rollout</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06–07</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No unintended denial/grant in staging</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09</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Shared API/function guards, validation and safe errors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04</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Every route classified and tested</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10</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SchoolPay signature, replay and idempotency</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Forged/stale/replay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11</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Cron bearer-only fail-closed; SMS lease/cost controls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Parallel-run and missing-secret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12</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Remove sample data; typed converters; transactions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Empty/error/partial-failure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13</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Print/PDF output encoding and security headers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Stored-XSS regression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14</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Notification outbox and truthful statuses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 11</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Provider/stub lifecycle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15</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Authorized, bounded object-storage file flows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09</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MIME/size/path/auth tests</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16</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CI debt baseline, tests and progressive zero gates</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Can start after Phase 0</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Required checks protect main</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17+</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One dependency family per PR</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PR 16</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Focused regression suite + full CI</w:t>
            </w:r>
          </w:p>
        </w:tc>
      </w:tr>
      <w:tr>
        <w:tc>
          <w:tcPr>
            <w:tcW w:type="dxa" w:w="648"/>
            <w:tcMar>
              <w:top w:w="80" w:type="dxa"/>
              <w:start w:w="120" w:type="dxa"/>
              <w:bottom w:w="80" w:type="dxa"/>
              <w:end w:w="120" w:type="dxa"/>
            </w:tcMar>
            <w:vAlign w:val="center"/>
          </w:tcPr>
          <w:p>
            <w:pPr>
              <w:spacing w:after="40" w:before="0" w:line="252" w:lineRule="auto"/>
            </w:pPr>
            <w:r>
              <w:rPr>
                <w:rFonts w:ascii="Calibri" w:hAnsi="Calibri"/>
                <w:sz w:val="15"/>
              </w:rPr>
              <w:t>Final</w:t>
            </w:r>
          </w:p>
        </w:tc>
        <w:tc>
          <w:tcPr>
            <w:tcW w:type="dxa" w:w="3816"/>
            <w:tcMar>
              <w:top w:w="80" w:type="dxa"/>
              <w:start w:w="120" w:type="dxa"/>
              <w:bottom w:w="80" w:type="dxa"/>
              <w:end w:w="120" w:type="dxa"/>
            </w:tcMar>
            <w:vAlign w:val="center"/>
          </w:tcPr>
          <w:p>
            <w:pPr>
              <w:spacing w:after="40" w:before="0" w:line="252" w:lineRule="auto"/>
            </w:pPr>
            <w:r>
              <w:rPr>
                <w:rFonts w:ascii="Calibri" w:hAnsi="Calibri"/>
                <w:sz w:val="15"/>
              </w:rPr>
              <w:t>Performance, cleanup, deployment alignment and release rehearsal</w:t>
            </w:r>
          </w:p>
        </w:tc>
        <w:tc>
          <w:tcPr>
            <w:tcW w:type="dxa" w:w="1944"/>
            <w:tcMar>
              <w:top w:w="80" w:type="dxa"/>
              <w:start w:w="120" w:type="dxa"/>
              <w:bottom w:w="80" w:type="dxa"/>
              <w:end w:w="120" w:type="dxa"/>
            </w:tcMar>
            <w:vAlign w:val="center"/>
          </w:tcPr>
          <w:p>
            <w:pPr>
              <w:spacing w:after="40" w:before="0" w:line="252" w:lineRule="auto"/>
            </w:pPr>
            <w:r>
              <w:rPr>
                <w:rFonts w:ascii="Calibri" w:hAnsi="Calibri"/>
                <w:sz w:val="15"/>
              </w:rPr>
              <w:t>All P0/P1</w:t>
            </w:r>
          </w:p>
        </w:tc>
        <w:tc>
          <w:tcPr>
            <w:tcW w:type="dxa" w:w="2952"/>
            <w:tcMar>
              <w:top w:w="80" w:type="dxa"/>
              <w:start w:w="120" w:type="dxa"/>
              <w:bottom w:w="80" w:type="dxa"/>
              <w:end w:w="120" w:type="dxa"/>
            </w:tcMar>
            <w:vAlign w:val="center"/>
          </w:tcPr>
          <w:p>
            <w:pPr>
              <w:spacing w:after="40" w:before="0" w:line="252" w:lineRule="auto"/>
            </w:pPr>
            <w:r>
              <w:rPr>
                <w:rFonts w:ascii="Calibri" w:hAnsi="Calibri"/>
                <w:sz w:val="15"/>
              </w:rPr>
              <w:t>Production checklist and rollback drill</w:t>
            </w:r>
          </w:p>
        </w:tc>
      </w:tr>
    </w:tbl>
    <w:p>
      <w:pPr>
        <w:spacing w:after="0"/>
      </w:pPr>
    </w:p>
    <w:p>
      <w:pPr>
        <w:pStyle w:val="Heading1"/>
      </w:pPr>
      <w:r>
        <w:t>Test and evidence plan</w:t>
      </w:r>
    </w:p>
    <w:tbl>
      <w:tblPr>
        <w:tblStyle w:val="TableGrid"/>
        <w:tblW w:type="dxa" w:w="9360"/>
        <w:jc w:val="center"/>
        <w:tblLayout w:type="fixed"/>
        <w:tblLook w:firstColumn="1" w:firstRow="1" w:lastColumn="0" w:lastRow="0" w:noHBand="0" w:noVBand="1" w:val="04A0"/>
        <w:tblInd w:w="120" w:type="dxa"/>
      </w:tblPr>
      <w:tblGrid>
        <w:gridCol w:w="1944"/>
        <w:gridCol w:w="7416"/>
      </w:tblGrid>
      <w:tr>
        <w:trPr>
          <w:tblHeader w:val="true"/>
        </w:trPr>
        <w:tc>
          <w:tcPr>
            <w:tcW w:type="dxa" w:w="1944"/>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Layer</w:t>
            </w:r>
          </w:p>
        </w:tc>
        <w:tc>
          <w:tcPr>
            <w:tcW w:type="dxa" w:w="741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Minimum evidence</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Unit</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Password/legacy migration boundary, permission mapping, validation schemas, escaping, money/date converters, idempotency key generation.</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Firestore/Storage rules</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Emulator allow/deny matrix for anonymous, disabled, limited, staff and admin identities, including self-elevation and cross-scope attempts.</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API/function</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Missing/invalid/expired token; wrong permission; malformed/oversized payload; rate limit; safe error; audit actor; no side effect on denial.</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Integration</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SchoolPay valid/invalid/stale/replay; SMS duplicate worker and provider failure; object storage upload/delete; notification provider lifecycle.</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E2E</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Secure login, role navigation, pupil/staff/fee/attendance workflows, reports/printing, notifications/SMS, logout, account switching.</w:t>
            </w:r>
          </w:p>
        </w:tc>
      </w:tr>
      <w:tr>
        <w:tc>
          <w:tcPr>
            <w:tcW w:type="dxa" w:w="1944"/>
            <w:tcMar>
              <w:top w:w="80" w:type="dxa"/>
              <w:start w:w="120" w:type="dxa"/>
              <w:bottom w:w="80" w:type="dxa"/>
              <w:end w:w="120" w:type="dxa"/>
            </w:tcMar>
            <w:vAlign w:val="center"/>
          </w:tcPr>
          <w:p>
            <w:pPr>
              <w:spacing w:after="40" w:before="0" w:line="252" w:lineRule="auto"/>
            </w:pPr>
            <w:r>
              <w:rPr>
                <w:rFonts w:ascii="Calibri" w:hAnsi="Calibri"/>
                <w:sz w:val="17"/>
              </w:rPr>
              <w:t>Operations</w:t>
            </w:r>
          </w:p>
        </w:tc>
        <w:tc>
          <w:tcPr>
            <w:tcW w:type="dxa" w:w="7416"/>
            <w:tcMar>
              <w:top w:w="80" w:type="dxa"/>
              <w:start w:w="120" w:type="dxa"/>
              <w:bottom w:w="80" w:type="dxa"/>
              <w:end w:w="120" w:type="dxa"/>
            </w:tcMar>
            <w:vAlign w:val="center"/>
          </w:tcPr>
          <w:p>
            <w:pPr>
              <w:spacing w:after="40" w:before="0" w:line="252" w:lineRule="auto"/>
            </w:pPr>
            <w:r>
              <w:rPr>
                <w:rFonts w:ascii="Calibri" w:hAnsi="Calibri"/>
                <w:sz w:val="17"/>
              </w:rPr>
              <w:t>Backup restore, credential rotation, rules rollback, application rollback, provider outage, cache/session revocation, alert delivery.</w:t>
            </w:r>
          </w:p>
        </w:tc>
      </w:tr>
    </w:tbl>
    <w:p>
      <w:pPr>
        <w:spacing w:after="0"/>
      </w:pPr>
    </w:p>
    <w:p>
      <w:pPr>
        <w:pStyle w:val="Heading1"/>
      </w:pPr>
      <w:r>
        <w:t>Production release checklist</w:t>
      </w:r>
    </w:p>
    <w:p>
      <w:r>
        <w:t>Production approval requires every item below to be evidenced. A verbal assurance is not sufficient.</w:t>
      </w:r>
    </w:p>
    <w:p>
      <w:pPr>
        <w:numPr>
          <w:ilvl w:val="0"/>
          <w:numId w:val="12"/>
        </w:numPr>
        <w:spacing w:after="80"/>
      </w:pPr>
      <w:r>
        <w:t>Firestore and Storage are deny-by-default; no public rule grants sensitive read/write.</w:t>
      </w:r>
    </w:p>
    <w:p>
      <w:pPr>
        <w:numPr>
          <w:ilvl w:val="0"/>
          <w:numId w:val="12"/>
        </w:numPr>
        <w:spacing w:after="80"/>
      </w:pPr>
      <w:r>
        <w:t>Authentication cannot be created or elevated by modifying localStorage or client state.</w:t>
      </w:r>
    </w:p>
    <w:p>
      <w:pPr>
        <w:numPr>
          <w:ilvl w:val="0"/>
          <w:numId w:val="12"/>
        </w:numPr>
        <w:spacing w:after="80"/>
      </w:pPr>
      <w:r>
        <w:t>Legacy reversible password material and browser-side password verification are removed.</w:t>
      </w:r>
    </w:p>
    <w:p>
      <w:pPr>
        <w:numPr>
          <w:ilvl w:val="0"/>
          <w:numId w:val="12"/>
        </w:numPr>
        <w:spacing w:after="80"/>
      </w:pPr>
      <w:r>
        <w:t>Public admin setup is removed; all provider credentials are rotated and server-only.</w:t>
      </w:r>
    </w:p>
    <w:p>
      <w:pPr>
        <w:numPr>
          <w:ilvl w:val="0"/>
          <w:numId w:val="12"/>
        </w:numPr>
        <w:spacing w:after="80"/>
      </w:pPr>
      <w:r>
        <w:t>Every mutating API route and exported function verifies the correct caller and permission.</w:t>
      </w:r>
    </w:p>
    <w:p>
      <w:pPr>
        <w:numPr>
          <w:ilvl w:val="0"/>
          <w:numId w:val="12"/>
        </w:numPr>
        <w:spacing w:after="80"/>
      </w:pPr>
      <w:r>
        <w:t>SchoolPay signatures are mandatory; timestamp, replay and idempotency controls pass.</w:t>
      </w:r>
    </w:p>
    <w:p>
      <w:pPr>
        <w:numPr>
          <w:ilvl w:val="0"/>
          <w:numId w:val="12"/>
        </w:numPr>
        <w:spacing w:after="80"/>
      </w:pPr>
      <w:r>
        <w:t>Cron fails closed and accepts only a protected bearer secret; SMS jobs use a durable lease and cost controls.</w:t>
      </w:r>
    </w:p>
    <w:p>
      <w:pPr>
        <w:numPr>
          <w:ilvl w:val="0"/>
          <w:numId w:val="12"/>
        </w:numPr>
        <w:spacing w:after="80"/>
      </w:pPr>
      <w:r>
        <w:t>No runtime sample financial/academic data is presented as real data.</w:t>
      </w:r>
    </w:p>
    <w:p>
      <w:pPr>
        <w:numPr>
          <w:ilvl w:val="0"/>
          <w:numId w:val="12"/>
        </w:numPr>
        <w:spacing w:after="80"/>
      </w:pPr>
      <w:r>
        <w:t>Printable/PDF HTML safely encodes stored and user-provided fields; CSP/security headers are deployed.</w:t>
      </w:r>
    </w:p>
    <w:p>
      <w:pPr>
        <w:numPr>
          <w:ilvl w:val="0"/>
          <w:numId w:val="12"/>
        </w:numPr>
        <w:spacing w:after="80"/>
      </w:pPr>
      <w:r>
        <w:t>TypeScript and lint errors are zero; build validation bypasses are removed.</w:t>
      </w:r>
    </w:p>
    <w:p>
      <w:pPr>
        <w:numPr>
          <w:ilvl w:val="0"/>
          <w:numId w:val="12"/>
        </w:numPr>
        <w:spacing w:after="80"/>
      </w:pPr>
      <w:r>
        <w:t>No unaccepted critical/high production dependency vulnerability remains.</w:t>
      </w:r>
    </w:p>
    <w:p>
      <w:pPr>
        <w:numPr>
          <w:ilvl w:val="0"/>
          <w:numId w:val="12"/>
        </w:numPr>
        <w:spacing w:after="80"/>
      </w:pPr>
      <w:r>
        <w:t>Rules, route, integration and E2E tests pass as required CI checks.</w:t>
      </w:r>
    </w:p>
    <w:p>
      <w:pPr>
        <w:numPr>
          <w:ilvl w:val="0"/>
          <w:numId w:val="12"/>
        </w:numPr>
        <w:spacing w:after="80"/>
      </w:pPr>
      <w:r>
        <w:t>Sensitive browser caches are cleared or bounded according to policy; logout/account switching is verified.</w:t>
      </w:r>
    </w:p>
    <w:p>
      <w:pPr>
        <w:numPr>
          <w:ilvl w:val="0"/>
          <w:numId w:val="12"/>
        </w:numPr>
        <w:spacing w:after="80"/>
      </w:pPr>
      <w:r>
        <w:t>Hosting architecture, Node runtime, environment variables, backups, monitoring, incident contacts and rollback commands are documented.</w:t>
      </w:r>
    </w:p>
    <w:p>
      <w:pPr>
        <w:numPr>
          <w:ilvl w:val="0"/>
          <w:numId w:val="12"/>
        </w:numPr>
        <w:spacing w:after="80"/>
      </w:pPr>
      <w:r>
        <w:t>A staging release rehearsal and production rollback rehearsal have succeeded within the recovery objective.</w:t>
      </w:r>
    </w:p>
    <w:p>
      <w:pPr>
        <w:pStyle w:val="Heading1"/>
      </w:pPr>
      <w:r>
        <w:t>Issue-to-flow traceability register</w:t>
      </w:r>
    </w:p>
    <w:p>
      <w:r>
        <w:t>Use this register to locate the code, understand the affected operational flow, and identify the remediation phase. Severity reflects production impact in the reviewed state, not implementation difficulty.</w:t>
      </w:r>
    </w:p>
    <w:tbl>
      <w:tblPr>
        <w:tblStyle w:val="TableGrid"/>
        <w:tblW w:type="dxa" w:w="9360"/>
        <w:jc w:val="center"/>
        <w:tblLayout w:type="fixed"/>
        <w:tblLook w:firstColumn="1" w:firstRow="1" w:lastColumn="0" w:lastRow="0" w:noHBand="0" w:noVBand="1" w:val="04A0"/>
        <w:tblInd w:w="120" w:type="dxa"/>
      </w:tblPr>
      <w:tblGrid>
        <w:gridCol w:w="1080"/>
        <w:gridCol w:w="2376"/>
        <w:gridCol w:w="1800"/>
        <w:gridCol w:w="3240"/>
        <w:gridCol w:w="864"/>
      </w:tblGrid>
      <w:tr>
        <w:trPr>
          <w:tblHeader w:val="true"/>
        </w:trPr>
        <w:tc>
          <w:tcPr>
            <w:tcW w:type="dxa" w:w="1080"/>
            <w:tcMar>
              <w:top w:w="80" w:type="dxa"/>
              <w:start w:w="120" w:type="dxa"/>
              <w:bottom w:w="80" w:type="dxa"/>
              <w:end w:w="120" w:type="dxa"/>
            </w:tcMar>
            <w:vAlign w:val="center"/>
            <w:shd w:fill="E8EEF5"/>
          </w:tcPr>
          <w:p>
            <w:pPr>
              <w:spacing w:after="40" w:before="0" w:line="252" w:lineRule="auto"/>
            </w:pPr>
            <w:r>
              <w:rPr>
                <w:rFonts w:ascii="Calibri" w:hAnsi="Calibri"/>
                <w:b/>
                <w:color w:val="17365D"/>
                <w:sz w:val="13"/>
              </w:rPr>
              <w:t>ID</w:t>
            </w:r>
          </w:p>
        </w:tc>
        <w:tc>
          <w:tcPr>
            <w:tcW w:type="dxa" w:w="2376"/>
            <w:tcMar>
              <w:top w:w="80" w:type="dxa"/>
              <w:start w:w="120" w:type="dxa"/>
              <w:bottom w:w="80" w:type="dxa"/>
              <w:end w:w="120" w:type="dxa"/>
            </w:tcMar>
            <w:vAlign w:val="center"/>
            <w:shd w:fill="E8EEF5"/>
          </w:tcPr>
          <w:p>
            <w:pPr>
              <w:spacing w:after="40" w:before="0" w:line="252" w:lineRule="auto"/>
            </w:pPr>
            <w:r>
              <w:rPr>
                <w:rFonts w:ascii="Calibri" w:hAnsi="Calibri"/>
                <w:b/>
                <w:color w:val="17365D"/>
                <w:sz w:val="13"/>
              </w:rPr>
              <w:t>Evidence</w:t>
            </w:r>
          </w:p>
        </w:tc>
        <w:tc>
          <w:tcPr>
            <w:tcW w:type="dxa" w:w="1800"/>
            <w:tcMar>
              <w:top w:w="80" w:type="dxa"/>
              <w:start w:w="120" w:type="dxa"/>
              <w:bottom w:w="80" w:type="dxa"/>
              <w:end w:w="120" w:type="dxa"/>
            </w:tcMar>
            <w:vAlign w:val="center"/>
            <w:shd w:fill="E8EEF5"/>
          </w:tcPr>
          <w:p>
            <w:pPr>
              <w:spacing w:after="40" w:before="0" w:line="252" w:lineRule="auto"/>
            </w:pPr>
            <w:r>
              <w:rPr>
                <w:rFonts w:ascii="Calibri" w:hAnsi="Calibri"/>
                <w:b/>
                <w:color w:val="17365D"/>
                <w:sz w:val="13"/>
              </w:rPr>
              <w:t>Affected flow</w:t>
            </w:r>
          </w:p>
        </w:tc>
        <w:tc>
          <w:tcPr>
            <w:tcW w:type="dxa" w:w="3240"/>
            <w:tcMar>
              <w:top w:w="80" w:type="dxa"/>
              <w:start w:w="120" w:type="dxa"/>
              <w:bottom w:w="80" w:type="dxa"/>
              <w:end w:w="120" w:type="dxa"/>
            </w:tcMar>
            <w:vAlign w:val="center"/>
            <w:shd w:fill="E8EEF5"/>
          </w:tcPr>
          <w:p>
            <w:pPr>
              <w:spacing w:after="40" w:before="0" w:line="252" w:lineRule="auto"/>
            </w:pPr>
            <w:r>
              <w:rPr>
                <w:rFonts w:ascii="Calibri" w:hAnsi="Calibri"/>
                <w:b/>
                <w:color w:val="17365D"/>
                <w:sz w:val="13"/>
              </w:rPr>
              <w:t>Problem and risk</w:t>
            </w:r>
          </w:p>
        </w:tc>
        <w:tc>
          <w:tcPr>
            <w:tcW w:type="dxa" w:w="864"/>
            <w:tcMar>
              <w:top w:w="80" w:type="dxa"/>
              <w:start w:w="120" w:type="dxa"/>
              <w:bottom w:w="80" w:type="dxa"/>
              <w:end w:w="120" w:type="dxa"/>
            </w:tcMar>
            <w:vAlign w:val="center"/>
            <w:shd w:fill="E8EEF5"/>
          </w:tcPr>
          <w:p>
            <w:pPr>
              <w:spacing w:after="40" w:before="0" w:line="252" w:lineRule="auto"/>
            </w:pPr>
            <w:r>
              <w:rPr>
                <w:rFonts w:ascii="Calibri" w:hAnsi="Calibri"/>
                <w:b/>
                <w:color w:val="17365D"/>
                <w:sz w:val="13"/>
              </w:rPr>
              <w:t>Fix</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SEC-01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firestore.rules:8</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Every direct Firestore flow</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Public allow read/write permits disclosure, tampering and deletion.</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2–4</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AUTH-01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src/lib/services/users.service.ts:21–31, 179+</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Login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Fixed-salt Base64 representation and browser verification expose passwords and trust the client.</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2</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AUTH-02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src/lib/contexts/auth-context.tsx:66–75, 170–230, 396+</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Session restore/login/logout</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localStorage user cache can be forged and persists without trustworthy session lifetime.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2, 9</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AUTH-03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src/app/admin/setup/page.tsx:19–23, 58–68; middleware.ts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Admin bootstrap</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Production-accessible page can create a default-looking administrator and is not covered by guarded prefixes.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API-01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 mutating routes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All server mutations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26 route files with POST/PUT/PATCH/DELETE lacked inbound verifyIdToken in the reviewed tree.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API-02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src/app/api/payments/create/route.ts:15</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Payment creation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Caller and financial intent are not protected by a shared server authorization boundary.</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5–6</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API-03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src/app/api/sms/bulk/route.ts:14; sms/wiza-recharge/route.ts:12</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Bulk SMS and recharge</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Public or weakly protected calls can create direct provider cost.</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1,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FUNC-01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functions/index.js:18–20, 40–41, 152–153, 238–240</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Cloud Functions/SMS/Wiza</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Permissive CORS, source credential fallbacks and missing verified caller guards.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1,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PAY-01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src/lib/services/schoolpay-integration.service.ts:83–89, 112–118</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SchoolPay webhook</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Signature verification can default off and is skipped when not required and no signature is supplied.</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JOB-01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src/app/api/cron/schoolpay-sync/route.ts:55–68</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SchoolPay sync cron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Missing secret can fail open; query secret and spoofable user-agent weaken caller proof.</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JOB-02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src/app/api/cron/send-scheduled-sms/route.ts:179–191</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Scheduled SMS cron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Same fail-open authentication pattern plus duplicate-send exposure.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SMS-01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scheduled SMS processing flow</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Message dispatch</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No atomic lease/transaction before provider send; parallel jobs can send twice.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5</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DATA-01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src/lib/hooks/use-payments.ts:18–27</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Payment list</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Empty/error response is replaced with believable sample payments.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6</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DATA-02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src/app/fees/page.tsx:154–187</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Fees/academic year</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Sample academic-year data hides real empty/configuration failures.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6</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XSS-01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src/app/fees/family/[...slug]/components/FamilyPrintModal.tsx:395–423</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Family print</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Stored/user fields enter HTML/document.write without encoding; script execution is possible.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6</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ID-01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system_users vs users; src/types/index.ts:61–87</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Identity and permissions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Two authoritative-looking user stores and multiple permission shapes produce inconsistent decisions.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3</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ID-02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storage.rules:27–29</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File access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Rules expect legacy modules while code uses modulePermissions/granularPermissions.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3–4</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NOTIF-01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src/app/notifications/page.tsx:587; api/notifications/send-batch/route.ts:2</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Notification batch send</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UI calls a route that returns 410; operator workflow is broken.</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8</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NOTIF-02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src/app/api/notifications/send-fcm</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FCM send</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Actual send is commented out while response can imply queued work.</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8</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FILE-01 P0</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upload/delete/generate-app-icons API routes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File management</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Missing auth/rate/size/path safeguards; runtime local/source writes are unsafe.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1, 5, 8</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QUAL-01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next.config.js:11–15</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Build/release</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Type and lint failures are ignored, so successful build is a false quality signal.</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QUAL-02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npm run typecheck snapshot</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Compilation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548 diagnostics across 109 files, concentrated in important pages/hooks.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QUAL-03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npm run lint snapshot</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Static quality</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3,322 findings: 1,295 errors and 2,027 warnings across 416 files.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DEP-01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root package-lock audit</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Runtime dependencies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62 production vulnerabilities: 6 critical, 17 high, 37 moderate, 2 low.</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DEP-02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functions/package-lock audit</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Cloud Functions dependencies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22 vulnerabilities: 4 critical, 5 high, 12 moderate, 1 low.</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TEST-01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package.json; .github/workflows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Release validation</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No package test script and no continuous quality gate; only minimal test artifacts.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7</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PERF-01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src/lib/components/global-data-preloader.tsx:643–658</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Authenticated application load</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Admin/Staff globally preload broad sensitive datasets.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9</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PERF-02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Next build snapshot</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Browser startup</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Shared First Load JS about 1.92 MB; vendor chunk about 1.65 MB.</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9</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PRIV-01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Firestore IndexedDB persistence and logout flow</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Logout/account switch</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Sensitive school data can remain on shared or compromised devices.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2, 9</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DEPLOY-01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firebase.json; Next API routes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Hosting</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Firebase Hosting expects out although the app is not a static export and uses server routes.</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10</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DEPLOY-02 P1</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firebase.json vs functions/package.json</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Cloud runtime</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Node 18 and Node 22 declarations conflict; deployed behavior may differ from local/CI.</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10</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CLEAN-01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zero-byte source/assets; referenced default-logo</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Fallback/navigation/assets</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Empty files create broken flows, but deleting referenced assets can also break runtime.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10</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CLEAN-02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TransPupilReportPDF_v2.tsx; root JPG; duplicate loading components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Maintenance/bundle</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Likely redundancy increases confusion; dynamic use must be disproved before removal.</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10</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CLEAN-03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firestore.indexes*.json</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Index deployment</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Files named complete/minimal do not match actual counts, inviting deployment of the wrong set.</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 10</w:t>
            </w:r>
          </w:p>
        </w:tc>
      </w:tr>
      <w:tr>
        <w:tc>
          <w:tcPr>
            <w:tcW w:type="dxa" w:w="1080"/>
            <w:tcMar>
              <w:top w:w="80" w:type="dxa"/>
              <w:start w:w="120" w:type="dxa"/>
              <w:bottom w:w="80" w:type="dxa"/>
              <w:end w:w="120" w:type="dxa"/>
            </w:tcMar>
            <w:vAlign w:val="center"/>
          </w:tcPr>
          <w:p>
            <w:pPr>
              <w:spacing w:after="40" w:before="0" w:line="252" w:lineRule="auto"/>
            </w:pPr>
            <w:r>
              <w:rPr>
                <w:rFonts w:ascii="Calibri" w:hAnsi="Calibri"/>
                <w:sz w:val="13"/>
              </w:rPr>
              <w:t>CLEAN-04 P2</w:t>
            </w:r>
          </w:p>
        </w:tc>
        <w:tc>
          <w:tcPr>
            <w:tcW w:type="dxa" w:w="2376"/>
            <w:tcMar>
              <w:top w:w="80" w:type="dxa"/>
              <w:start w:w="120" w:type="dxa"/>
              <w:bottom w:w="80" w:type="dxa"/>
              <w:end w:w="120" w:type="dxa"/>
            </w:tcMar>
            <w:vAlign w:val="center"/>
          </w:tcPr>
          <w:p>
            <w:pPr>
              <w:spacing w:after="40" w:before="0" w:line="252" w:lineRule="auto"/>
            </w:pPr>
            <w:r>
              <w:rPr>
                <w:rFonts w:ascii="Calibri" w:hAnsi="Calibri"/>
                <w:sz w:val="13"/>
              </w:rPr>
              <w:t>package.json; 56 maintenance scripts; duplicate folders</w:t>
            </w:r>
          </w:p>
        </w:tc>
        <w:tc>
          <w:tcPr>
            <w:tcW w:type="dxa" w:w="1800"/>
            <w:tcMar>
              <w:top w:w="80" w:type="dxa"/>
              <w:start w:w="120" w:type="dxa"/>
              <w:bottom w:w="80" w:type="dxa"/>
              <w:end w:w="120" w:type="dxa"/>
            </w:tcMar>
            <w:vAlign w:val="center"/>
          </w:tcPr>
          <w:p>
            <w:pPr>
              <w:spacing w:after="40" w:before="0" w:line="252" w:lineRule="auto"/>
            </w:pPr>
            <w:r>
              <w:rPr>
                <w:rFonts w:ascii="Calibri" w:hAnsi="Calibri"/>
                <w:sz w:val="13"/>
              </w:rPr>
              <w:t>Repository structure</w:t>
            </w:r>
          </w:p>
        </w:tc>
        <w:tc>
          <w:tcPr>
            <w:tcW w:type="dxa" w:w="3240"/>
            <w:tcMar>
              <w:top w:w="80" w:type="dxa"/>
              <w:start w:w="120" w:type="dxa"/>
              <w:bottom w:w="80" w:type="dxa"/>
              <w:end w:w="120" w:type="dxa"/>
            </w:tcMar>
            <w:vAlign w:val="center"/>
          </w:tcPr>
          <w:p>
            <w:pPr>
              <w:spacing w:after="40" w:before="0" w:line="252" w:lineRule="auto"/>
            </w:pPr>
            <w:r>
              <w:rPr>
                <w:rFonts w:ascii="Calibri" w:hAnsi="Calibri"/>
                <w:sz w:val="13"/>
              </w:rPr>
              <w:t>Likely unused dependencies and parallel structures increase supply-chain and maintenance surface.</w:t>
            </w:r>
          </w:p>
        </w:tc>
        <w:tc>
          <w:tcPr>
            <w:tcW w:type="dxa" w:w="864"/>
            <w:tcMar>
              <w:top w:w="80" w:type="dxa"/>
              <w:start w:w="120" w:type="dxa"/>
              <w:bottom w:w="80" w:type="dxa"/>
              <w:end w:w="120" w:type="dxa"/>
            </w:tcMar>
            <w:vAlign w:val="center"/>
          </w:tcPr>
          <w:p>
            <w:pPr>
              <w:spacing w:after="40" w:before="0" w:line="252" w:lineRule="auto"/>
            </w:pPr>
            <w:r>
              <w:rPr>
                <w:rFonts w:ascii="Calibri" w:hAnsi="Calibri"/>
                <w:sz w:val="13"/>
              </w:rPr>
              <w:t>Phases 9–10</w:t>
            </w:r>
          </w:p>
        </w:tc>
      </w:tr>
    </w:tbl>
    <w:p>
      <w:pPr>
        <w:spacing w:after="0"/>
      </w:pPr>
    </w:p>
    <w:p>
      <w:pPr>
        <w:pStyle w:val="Heading1"/>
      </w:pPr>
      <w:r>
        <w:t>First 72 hours: operational checklist</w:t>
      </w:r>
    </w:p>
    <w:p>
      <w:pPr>
        <w:numPr>
          <w:ilvl w:val="0"/>
          <w:numId w:val="12"/>
        </w:numPr>
        <w:spacing w:after="80"/>
      </w:pPr>
      <w:r>
        <w:t>Name the incident/remediation owner and freeze unrelated production deployments.</w:t>
      </w:r>
    </w:p>
    <w:p>
      <w:pPr>
        <w:numPr>
          <w:ilvl w:val="0"/>
          <w:numId w:val="12"/>
        </w:numPr>
        <w:spacing w:after="80"/>
      </w:pPr>
      <w:r>
        <w:t>Confirm the exact currently deployed commits and capture backups.</w:t>
      </w:r>
    </w:p>
    <w:p>
      <w:pPr>
        <w:numPr>
          <w:ilvl w:val="0"/>
          <w:numId w:val="12"/>
        </w:numPr>
        <w:spacing w:after="80"/>
      </w:pPr>
      <w:r>
        <w:t>Rotate and revoke all provider secrets found in source/config/history.</w:t>
      </w:r>
    </w:p>
    <w:p>
      <w:pPr>
        <w:numPr>
          <w:ilvl w:val="0"/>
          <w:numId w:val="12"/>
        </w:numPr>
        <w:spacing w:after="80"/>
      </w:pPr>
      <w:r>
        <w:t>Disable the public admin setup path and confirm a known admin can still sign in.</w:t>
      </w:r>
    </w:p>
    <w:p>
      <w:pPr>
        <w:numPr>
          <w:ilvl w:val="0"/>
          <w:numId w:val="12"/>
        </w:numPr>
        <w:spacing w:after="80"/>
      </w:pPr>
      <w:r>
        <w:t>Place emergency guards and low quotas on SMS/recharge/upload/delete/mutating routes.</w:t>
      </w:r>
    </w:p>
    <w:p>
      <w:pPr>
        <w:numPr>
          <w:ilvl w:val="0"/>
          <w:numId w:val="12"/>
        </w:numPr>
        <w:spacing w:after="80"/>
      </w:pPr>
      <w:r>
        <w:t>Create isolated staging with non-production provider accounts and data.</w:t>
      </w:r>
    </w:p>
    <w:p>
      <w:pPr>
        <w:numPr>
          <w:ilvl w:val="0"/>
          <w:numId w:val="12"/>
        </w:numPr>
        <w:spacing w:after="80"/>
      </w:pPr>
      <w:r>
        <w:t>Begin the server-backed authentication bridge; do not deploy deny-by-default rules prematurely.</w:t>
      </w:r>
    </w:p>
    <w:p>
      <w:pPr>
        <w:numPr>
          <w:ilvl w:val="0"/>
          <w:numId w:val="12"/>
        </w:numPr>
        <w:spacing w:after="80"/>
      </w:pPr>
      <w:r>
        <w:t>Open tracking issues for every P0 item and link each to the relevant gate in this runbook.</w:t>
      </w:r>
    </w:p>
    <w:p>
      <w:pPr>
        <w:pStyle w:val="Heading1"/>
      </w:pPr>
      <w:r>
        <w:t>Suggested delivery timeline</w:t>
      </w:r>
    </w:p>
    <w:tbl>
      <w:tblPr>
        <w:tblStyle w:val="TableGrid"/>
        <w:tblW w:type="dxa" w:w="9360"/>
        <w:jc w:val="center"/>
        <w:tblLayout w:type="fixed"/>
        <w:tblLook w:firstColumn="1" w:firstRow="1" w:lastColumn="0" w:lastRow="0" w:noHBand="0" w:noVBand="1" w:val="04A0"/>
        <w:tblInd w:w="120" w:type="dxa"/>
      </w:tblPr>
      <w:tblGrid>
        <w:gridCol w:w="1440"/>
        <w:gridCol w:w="5616"/>
        <w:gridCol w:w="2304"/>
      </w:tblGrid>
      <w:tr>
        <w:trPr>
          <w:tblHeader w:val="true"/>
        </w:trPr>
        <w:tc>
          <w:tcPr>
            <w:tcW w:type="dxa" w:w="1440"/>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Window</w:t>
            </w:r>
          </w:p>
        </w:tc>
        <w:tc>
          <w:tcPr>
            <w:tcW w:type="dxa" w:w="561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Primary outcome</w:t>
            </w:r>
          </w:p>
        </w:tc>
        <w:tc>
          <w:tcPr>
            <w:tcW w:type="dxa" w:w="2304"/>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Release posture</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Days 1–2</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Safety net, backups, staging, secret rotation, admin setup removal, emergency guards.</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No normal production release until P0 containment is verified.</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Week 1</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Secure authentication bridge and initial canonical user model.</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Internal cohort only; compatibility adapter remains.</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Week 2</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User migration, permission parity, emulator rules and staged rules rollout.</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Progressive cohorts with rules rollback ready.</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Week 3</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API/function guards, SchoolPay, cron and SMS idempotency/cost controls.</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Provider staging tests before production ingress.</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Week 4</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Data correctness, XSS, notifications/files and CI debt baseline.</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Feature releases resume only through required checks.</w:t>
            </w:r>
          </w:p>
        </w:tc>
      </w:tr>
      <w:tr>
        <w:tc>
          <w:tcPr>
            <w:tcW w:type="dxa" w:w="1440"/>
            <w:tcMar>
              <w:top w:w="80" w:type="dxa"/>
              <w:start w:w="120" w:type="dxa"/>
              <w:bottom w:w="80" w:type="dxa"/>
              <w:end w:w="120" w:type="dxa"/>
            </w:tcMar>
            <w:vAlign w:val="center"/>
          </w:tcPr>
          <w:p>
            <w:pPr>
              <w:spacing w:after="40" w:before="0" w:line="252" w:lineRule="auto"/>
            </w:pPr>
            <w:r>
              <w:rPr>
                <w:rFonts w:ascii="Calibri" w:hAnsi="Calibri"/>
                <w:sz w:val="17"/>
              </w:rPr>
              <w:t>Weeks 5–6</w:t>
            </w:r>
          </w:p>
        </w:tc>
        <w:tc>
          <w:tcPr>
            <w:tcW w:type="dxa" w:w="5616"/>
            <w:tcMar>
              <w:top w:w="80" w:type="dxa"/>
              <w:start w:w="120" w:type="dxa"/>
              <w:bottom w:w="80" w:type="dxa"/>
              <w:end w:w="120" w:type="dxa"/>
            </w:tcMar>
            <w:vAlign w:val="center"/>
          </w:tcPr>
          <w:p>
            <w:pPr>
              <w:spacing w:after="40" w:before="0" w:line="252" w:lineRule="auto"/>
            </w:pPr>
            <w:r>
              <w:rPr>
                <w:rFonts w:ascii="Calibri" w:hAnsi="Calibri"/>
                <w:sz w:val="17"/>
              </w:rPr>
              <w:t>Type/lint burn-down, dependency upgrades, performance, cleanup, deployment rehearsal.</w:t>
            </w:r>
          </w:p>
        </w:tc>
        <w:tc>
          <w:tcPr>
            <w:tcW w:type="dxa" w:w="2304"/>
            <w:tcMar>
              <w:top w:w="80" w:type="dxa"/>
              <w:start w:w="120" w:type="dxa"/>
              <w:bottom w:w="80" w:type="dxa"/>
              <w:end w:w="120" w:type="dxa"/>
            </w:tcMar>
            <w:vAlign w:val="center"/>
          </w:tcPr>
          <w:p>
            <w:pPr>
              <w:spacing w:after="40" w:before="0" w:line="252" w:lineRule="auto"/>
            </w:pPr>
            <w:r>
              <w:rPr>
                <w:rFonts w:ascii="Calibri" w:hAnsi="Calibri"/>
                <w:sz w:val="17"/>
              </w:rPr>
              <w:t>Final approval only after the complete production checklist.</w:t>
            </w:r>
          </w:p>
        </w:tc>
      </w:tr>
    </w:tbl>
    <w:p>
      <w:pPr>
        <w:spacing w:after="0"/>
      </w:pPr>
    </w:p>
    <w:p>
      <w:pPr>
        <w:pStyle w:val="Heading1"/>
      </w:pPr>
      <w:r>
        <w:t>Final approval record</w:t>
      </w:r>
    </w:p>
    <w:tbl>
      <w:tblPr>
        <w:tblStyle w:val="TableGrid"/>
        <w:tblW w:type="dxa" w:w="9360"/>
        <w:jc w:val="center"/>
        <w:tblLayout w:type="fixed"/>
        <w:tblLook w:firstColumn="1" w:firstRow="1" w:lastColumn="0" w:lastRow="0" w:noHBand="0" w:noVBand="1" w:val="04A0"/>
        <w:tblInd w:w="120" w:type="dxa"/>
      </w:tblPr>
      <w:tblGrid>
        <w:gridCol w:w="2016"/>
        <w:gridCol w:w="2016"/>
        <w:gridCol w:w="2016"/>
        <w:gridCol w:w="3312"/>
      </w:tblGrid>
      <w:tr>
        <w:trPr>
          <w:tblHeader w:val="true"/>
        </w:trPr>
        <w:tc>
          <w:tcPr>
            <w:tcW w:type="dxa" w:w="201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Role</w:t>
            </w:r>
          </w:p>
        </w:tc>
        <w:tc>
          <w:tcPr>
            <w:tcW w:type="dxa" w:w="201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Name</w:t>
            </w:r>
          </w:p>
        </w:tc>
        <w:tc>
          <w:tcPr>
            <w:tcW w:type="dxa" w:w="2016"/>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Decision/date</w:t>
            </w:r>
          </w:p>
        </w:tc>
        <w:tc>
          <w:tcPr>
            <w:tcW w:type="dxa" w:w="3312"/>
            <w:tcMar>
              <w:top w:w="80" w:type="dxa"/>
              <w:start w:w="120" w:type="dxa"/>
              <w:bottom w:w="80" w:type="dxa"/>
              <w:end w:w="120" w:type="dxa"/>
            </w:tcMar>
            <w:vAlign w:val="center"/>
            <w:shd w:fill="E8EEF5"/>
          </w:tcPr>
          <w:p>
            <w:pPr>
              <w:spacing w:after="40" w:before="0" w:line="252" w:lineRule="auto"/>
            </w:pPr>
            <w:r>
              <w:rPr>
                <w:rFonts w:ascii="Calibri" w:hAnsi="Calibri"/>
                <w:b/>
                <w:color w:val="17365D"/>
                <w:sz w:val="17"/>
              </w:rPr>
              <w:t>Evidence link or notes</w:t>
            </w:r>
          </w:p>
        </w:tc>
      </w:tr>
      <w:tr>
        <w:tc>
          <w:tcPr>
            <w:tcW w:type="dxa" w:w="2016"/>
            <w:tcMar>
              <w:top w:w="80" w:type="dxa"/>
              <w:start w:w="120" w:type="dxa"/>
              <w:bottom w:w="80" w:type="dxa"/>
              <w:end w:w="120" w:type="dxa"/>
            </w:tcMar>
            <w:vAlign w:val="center"/>
          </w:tcPr>
          <w:p>
            <w:pPr>
              <w:spacing w:after="40" w:before="0" w:line="252" w:lineRule="auto"/>
            </w:pPr>
            <w:r>
              <w:rPr>
                <w:rFonts w:ascii="Calibri" w:hAnsi="Calibri"/>
                <w:sz w:val="17"/>
              </w:rPr>
              <w:t>Technical lead</w:t>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7"/>
              </w:rPr>
            </w:r>
          </w:p>
        </w:tc>
      </w:tr>
      <w:tr>
        <w:tc>
          <w:tcPr>
            <w:tcW w:type="dxa" w:w="2016"/>
            <w:tcMar>
              <w:top w:w="80" w:type="dxa"/>
              <w:start w:w="120" w:type="dxa"/>
              <w:bottom w:w="80" w:type="dxa"/>
              <w:end w:w="120" w:type="dxa"/>
            </w:tcMar>
            <w:vAlign w:val="center"/>
          </w:tcPr>
          <w:p>
            <w:pPr>
              <w:spacing w:after="40" w:before="0" w:line="252" w:lineRule="auto"/>
            </w:pPr>
            <w:r>
              <w:rPr>
                <w:rFonts w:ascii="Calibri" w:hAnsi="Calibri"/>
                <w:sz w:val="17"/>
              </w:rPr>
              <w:t>Security reviewer</w:t>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7"/>
              </w:rPr>
            </w:r>
          </w:p>
        </w:tc>
      </w:tr>
      <w:tr>
        <w:tc>
          <w:tcPr>
            <w:tcW w:type="dxa" w:w="2016"/>
            <w:tcMar>
              <w:top w:w="80" w:type="dxa"/>
              <w:start w:w="120" w:type="dxa"/>
              <w:bottom w:w="80" w:type="dxa"/>
              <w:end w:w="120" w:type="dxa"/>
            </w:tcMar>
            <w:vAlign w:val="center"/>
          </w:tcPr>
          <w:p>
            <w:pPr>
              <w:spacing w:after="40" w:before="0" w:line="252" w:lineRule="auto"/>
            </w:pPr>
            <w:r>
              <w:rPr>
                <w:rFonts w:ascii="Calibri" w:hAnsi="Calibri"/>
                <w:sz w:val="17"/>
              </w:rPr>
              <w:t>School operations owner</w:t>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7"/>
              </w:rPr>
            </w:r>
          </w:p>
        </w:tc>
      </w:tr>
      <w:tr>
        <w:tc>
          <w:tcPr>
            <w:tcW w:type="dxa" w:w="2016"/>
            <w:tcMar>
              <w:top w:w="80" w:type="dxa"/>
              <w:start w:w="120" w:type="dxa"/>
              <w:bottom w:w="80" w:type="dxa"/>
              <w:end w:w="120" w:type="dxa"/>
            </w:tcMar>
            <w:vAlign w:val="center"/>
          </w:tcPr>
          <w:p>
            <w:pPr>
              <w:spacing w:after="40" w:before="0" w:line="252" w:lineRule="auto"/>
            </w:pPr>
            <w:r>
              <w:rPr>
                <w:rFonts w:ascii="Calibri" w:hAnsi="Calibri"/>
                <w:sz w:val="17"/>
              </w:rPr>
              <w:t>Data/privacy owner</w:t>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7"/>
              </w:rPr>
            </w:r>
          </w:p>
        </w:tc>
      </w:tr>
      <w:tr>
        <w:tc>
          <w:tcPr>
            <w:tcW w:type="dxa" w:w="2016"/>
            <w:tcMar>
              <w:top w:w="80" w:type="dxa"/>
              <w:start w:w="120" w:type="dxa"/>
              <w:bottom w:w="80" w:type="dxa"/>
              <w:end w:w="120" w:type="dxa"/>
            </w:tcMar>
            <w:vAlign w:val="center"/>
          </w:tcPr>
          <w:p>
            <w:pPr>
              <w:spacing w:after="40" w:before="0" w:line="252" w:lineRule="auto"/>
            </w:pPr>
            <w:r>
              <w:rPr>
                <w:rFonts w:ascii="Calibri" w:hAnsi="Calibri"/>
                <w:sz w:val="17"/>
              </w:rPr>
              <w:t>Deployment owner</w:t>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2016"/>
            <w:tcMar>
              <w:top w:w="80" w:type="dxa"/>
              <w:start w:w="120" w:type="dxa"/>
              <w:bottom w:w="80" w:type="dxa"/>
              <w:end w:w="120" w:type="dxa"/>
            </w:tcMar>
            <w:vAlign w:val="center"/>
          </w:tcPr>
          <w:p>
            <w:pPr>
              <w:spacing w:after="40" w:before="0" w:line="252" w:lineRule="auto"/>
            </w:pPr>
            <w:r>
              <w:rPr>
                <w:rFonts w:ascii="Calibri" w:hAnsi="Calibri"/>
                <w:sz w:val="17"/>
              </w:rPr>
            </w:r>
          </w:p>
        </w:tc>
        <w:tc>
          <w:tcPr>
            <w:tcW w:type="dxa" w:w="3312"/>
            <w:tcMar>
              <w:top w:w="80" w:type="dxa"/>
              <w:start w:w="120" w:type="dxa"/>
              <w:bottom w:w="80" w:type="dxa"/>
              <w:end w:w="120" w:type="dxa"/>
            </w:tcMar>
            <w:vAlign w:val="center"/>
          </w:tcPr>
          <w:p>
            <w:pPr>
              <w:spacing w:after="40" w:before="0" w:line="252" w:lineRule="auto"/>
            </w:pPr>
            <w:r>
              <w:rPr>
                <w:rFonts w:ascii="Calibri" w:hAnsi="Calibri"/>
                <w:sz w:val="17"/>
              </w:rPr>
            </w:r>
          </w:p>
        </w:tc>
      </w:tr>
    </w:tbl>
    <w:p>
      <w:pPr>
        <w:spacing w:after="0"/>
      </w:pPr>
    </w:p>
    <w:p/>
    <w:p>
      <w:pPr>
        <w:jc w:val="center"/>
      </w:pPr>
      <w:r>
        <w:rPr>
          <w:b/>
          <w:color w:val="C69214"/>
        </w:rPr>
        <w:t>END OF RUNBOOK</w:t>
      </w:r>
    </w:p>
    <w:sectPr w:rsidR="00FC693F" w:rsidRPr="0006063C" w:rsidSect="00034616">
      <w:headerReference w:type="default" r:id="rId9"/>
      <w:footerReference w:type="default" r:id="rId10"/>
      <w:pgSz w:w="12240" w:h="15840"/>
      <w:pgMar w:top="1080" w:right="1440" w:bottom="1080" w:left="144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Internal working document  •  15 July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6666"/>
        <w:sz w:val="16"/>
      </w:rPr>
      <w:t>TRINITY FAMILY SCHOOL  |  PRODUCTION SAFETY REMEDIATION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bullet"/>
      <w:lvlText w:val="•"/>
      <w:lvlJc w:val="left"/>
      <w:pPr>
        <w:tabs>
          <w:tab w:val="num" w:pos="540"/>
        </w:tabs>
        <w:ind w:left="540" w:hanging="270"/>
      </w:pPr>
      <w:rPr>
        <w:rFonts w:ascii="Symbol" w:hAnsi="Symbol"/>
      </w:rPr>
    </w:lvl>
  </w:abstractNum>
  <w:num w:numId="11">
    <w:abstractNumId w:val="10"/>
  </w:num>
  <w:abstractNum w:abstractNumId="11">
    <w:multiLevelType w:val="singleLevel"/>
    <w:lvl w:ilvl="0">
      <w:start w:val="1"/>
      <w:numFmt w:val="bullet"/>
      <w:lvlText w:val="☐"/>
      <w:lvlJc w:val="left"/>
      <w:pPr>
        <w:tabs>
          <w:tab w:val="num" w:pos="540"/>
        </w:tabs>
        <w:ind w:left="540" w:hanging="270"/>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line="288" w:lineRule="auto"/>
      <w:ind w:left="720"/>
      <w:contextualSpacing/>
    </w:pPr>
    <w:rPr>
      <w:rFonts w:ascii="Calibri" w:hAnsi="Calibri"/>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vidence">
    <w:name w:val="Code Evidence"/>
    <w:pPr>
      <w:spacing w:after="80"/>
      <w:ind w:left="288"/>
    </w:pPr>
    <w:rPr>
      <w:rFonts w:ascii="Consolas" w:hAnsi="Consolas"/>
      <w:color w:val="1F4D7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Trinity Family School Production Safety Remediation Runbook</dc:title>
  <dc:subject>Detailed non-breaking remediation plan for production readiness</dc:subject>
  <dc:creator>Trinity Family School / Codex</dc:creator>
  <cp:keywords>production readiness, security, Firebase, Next.js, remediation, runbook</cp:keywords>
  <dc:description>Based on the verified repository snapshot of 15 July 2026.</dc:description>
  <cp:lastModifiedBy/>
  <cp:revision>1</cp:revision>
  <dcterms:created xsi:type="dcterms:W3CDTF">2013-12-23T23:15:00Z</dcterms:created>
  <dcterms:modified xsi:type="dcterms:W3CDTF">2013-12-23T23:15:00Z</dcterms:modified>
  <cp:category/>
</cp:coreProperties>
</file>