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B2545"/>
          <w:sz w:val="46"/>
        </w:rPr>
        <w:t>School Management System Improvement Report</w:t>
      </w:r>
    </w:p>
    <w:p>
      <w:pPr>
        <w:spacing w:after="200"/>
      </w:pPr>
      <w:r>
        <w:rPr>
          <w:color w:val="475569"/>
          <w:sz w:val="22"/>
        </w:rPr>
        <w:t>Errors, operational improvements, and recommended new components for better daily school management</w:t>
      </w:r>
    </w:p>
    <w:p>
      <w:pPr>
        <w:spacing w:after="200"/>
      </w:pPr>
      <w:r>
        <w:rPr>
          <w:color w:val="64748B"/>
          <w:sz w:val="19"/>
        </w:rPr>
        <w:t>Generated: 05 June 2026</w:t>
      </w:r>
    </w:p>
    <w:tbl>
      <w:tblPr>
        <w:tblW w:type="auto" w:w="0"/>
        <w:jc w:val="center"/>
        <w:tblLook w:firstColumn="1" w:firstRow="1" w:lastColumn="0" w:lastRow="0" w:noHBand="0" w:noVBand="1" w:val="04A0"/>
        <w:tblBorders>
          <w:top w:val="single" w:sz="6" w:space="0" w:color="C7D2FE"/>
          <w:left w:val="single" w:sz="6" w:space="0" w:color="C7D2FE"/>
          <w:bottom w:val="single" w:sz="6" w:space="0" w:color="C7D2FE"/>
          <w:right w:val="single" w:sz="6" w:space="0" w:color="C7D2FE"/>
          <w:insideH w:val="single" w:sz="6" w:space="0" w:color="C7D2FE"/>
          <w:insideV w:val="single" w:sz="6" w:space="0" w:color="C7D2FE"/>
        </w:tblBorders>
      </w:tblPr>
      <w:tblGrid>
        <w:gridCol w:w="9936"/>
      </w:tblGrid>
      <w:tr>
        <w:tc>
          <w:tcPr>
            <w:tcW w:type="dxa" w:w="9936"/>
            <w:shd w:fill="EEF2FF"/>
            <w:tcMar>
              <w:top w:w="140" w:type="dxa"/>
              <w:start w:w="160" w:type="dxa"/>
              <w:bottom w:w="140" w:type="dxa"/>
              <w:end w:w="160" w:type="dxa"/>
            </w:tcMar>
          </w:tcPr>
          <w:p>
            <w:pPr>
              <w:spacing w:after="40"/>
            </w:pPr>
            <w:r/>
            <w:r>
              <w:rPr>
                <w:b/>
                <w:color w:val="1E3A8A"/>
                <w:sz w:val="21"/>
              </w:rPr>
              <w:t>Executive summary</w:t>
            </w:r>
          </w:p>
          <w:p>
            <w:pPr>
              <w:spacing w:after="0"/>
            </w:pPr>
            <w:r>
              <w:rPr>
                <w:color w:val="334155"/>
                <w:sz w:val="19"/>
              </w:rPr>
              <w:t>The system already covers many school operations: pupils, fees, family accounts, SchoolPay, uniforms, requirements, exams, attendance, banking, procurement, inventory, SMS, notifications, events, duty service, and parent portal. The biggest opportunity is not simply adding more pages; it is stabilizing shared ledgers, improving auditability, reducing duplicate logic, and adding dashboards that show management what needs attention before it becomes a problem.</w:t>
            </w:r>
          </w:p>
        </w:tc>
      </w:tr>
    </w:tbl>
    <w:p/>
    <w:p>
      <w:pPr>
        <w:pStyle w:val="Heading1"/>
      </w:pPr>
      <w:r>
        <w:t>Review Scope</w:t>
      </w:r>
    </w:p>
    <w:p>
      <w:pPr>
        <w:pStyle w:val="ListBullet"/>
        <w:spacing w:after="60"/>
        <w:ind w:left="360" w:hanging="216"/>
      </w:pPr>
      <w:r>
        <w:t>Reviewed the app/module structure under src/app, src/components, src/lib/hooks, and src/lib/services.</w:t>
      </w:r>
    </w:p>
    <w:p>
      <w:pPr>
        <w:pStyle w:val="ListBullet"/>
        <w:spacing w:after="60"/>
        <w:ind w:left="360" w:hanging="216"/>
      </w:pPr>
      <w:r>
        <w:t>Reviewed money handling previously: school fees, family payments, carry forward, uniform payments, requirement payments, banking, SchoolPay, and SMS balance.</w:t>
      </w:r>
    </w:p>
    <w:p>
      <w:pPr>
        <w:pStyle w:val="ListBullet"/>
        <w:spacing w:after="60"/>
        <w:ind w:left="360" w:hanging="216"/>
      </w:pPr>
      <w:r>
        <w:t>Ran npm run typecheck -- --pretty false. It currently fails with existing TypeScript errors across app routes, exams, boarding, class pages, requirements, procurement, notifications, scripts, and generated Next.js route validation.</w:t>
      </w:r>
    </w:p>
    <w:p>
      <w:pPr>
        <w:pStyle w:val="ListBullet"/>
        <w:spacing w:after="60"/>
        <w:ind w:left="360" w:hanging="216"/>
      </w:pPr>
      <w:r>
        <w:t>Looked for operational risks such as debug/test routes, backup files, browser alerts, localStorage auth/session use, and hardcoded actor names.</w:t>
      </w:r>
    </w:p>
    <w:p>
      <w:pPr>
        <w:pStyle w:val="Heading1"/>
      </w:pPr>
      <w:r>
        <w:t>Priority Improvement Plan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84"/>
        <w:gridCol w:w="2484"/>
        <w:gridCol w:w="2484"/>
        <w:gridCol w:w="2484"/>
      </w:tblGrid>
      <w:tr>
        <w:tc>
          <w:tcPr>
            <w:tcW w:type="dxa" w:w="648"/>
            <w:vAlign w:val="top"/>
            <w:tcMar>
              <w:top w:w="90" w:type="dxa"/>
              <w:start w:w="120" w:type="dxa"/>
              <w:bottom w:w="90" w:type="dxa"/>
              <w:end w:w="120" w:type="dxa"/>
            </w:tcMar>
            <w:shd w:fill="1F4D78"/>
          </w:tcPr>
          <w:p>
            <w:pPr>
              <w:spacing w:after="0"/>
            </w:pPr>
            <w:r/>
            <w:r>
              <w:rPr>
                <w:b/>
                <w:color w:val="FFFFFF"/>
                <w:sz w:val="18"/>
              </w:rPr>
              <w:t>Priority</w:t>
            </w:r>
          </w:p>
        </w:tc>
        <w:tc>
          <w:tcPr>
            <w:tcW w:type="dxa" w:w="2232"/>
            <w:vAlign w:val="top"/>
            <w:tcMar>
              <w:top w:w="90" w:type="dxa"/>
              <w:start w:w="120" w:type="dxa"/>
              <w:bottom w:w="90" w:type="dxa"/>
              <w:end w:w="120" w:type="dxa"/>
            </w:tcMar>
            <w:shd w:fill="1F4D78"/>
          </w:tcPr>
          <w:p>
            <w:pPr>
              <w:spacing w:after="0"/>
            </w:pPr>
            <w:r/>
            <w:r>
              <w:rPr>
                <w:b/>
                <w:color w:val="FFFFFF"/>
                <w:sz w:val="18"/>
              </w:rPr>
              <w:t>Area</w:t>
            </w:r>
          </w:p>
        </w:tc>
        <w:tc>
          <w:tcPr>
            <w:tcW w:type="dxa" w:w="3240"/>
            <w:vAlign w:val="top"/>
            <w:tcMar>
              <w:top w:w="90" w:type="dxa"/>
              <w:start w:w="120" w:type="dxa"/>
              <w:bottom w:w="90" w:type="dxa"/>
              <w:end w:w="120" w:type="dxa"/>
            </w:tcMar>
            <w:shd w:fill="1F4D78"/>
          </w:tcPr>
          <w:p>
            <w:pPr>
              <w:spacing w:after="0"/>
            </w:pPr>
            <w:r/>
            <w:r>
              <w:rPr>
                <w:b/>
                <w:color w:val="FFFFFF"/>
                <w:sz w:val="18"/>
              </w:rPr>
              <w:t>Why it matters</w:t>
            </w:r>
          </w:p>
        </w:tc>
        <w:tc>
          <w:tcPr>
            <w:tcW w:type="dxa" w:w="4320"/>
            <w:vAlign w:val="top"/>
            <w:tcMar>
              <w:top w:w="90" w:type="dxa"/>
              <w:start w:w="120" w:type="dxa"/>
              <w:bottom w:w="90" w:type="dxa"/>
              <w:end w:w="120" w:type="dxa"/>
            </w:tcMar>
            <w:shd w:fill="1F4D78"/>
          </w:tcPr>
          <w:p>
            <w:pPr>
              <w:spacing w:after="0"/>
            </w:pPr>
            <w:r/>
            <w:r>
              <w:rPr>
                <w:b/>
                <w:color w:val="FFFFFF"/>
                <w:sz w:val="18"/>
              </w:rPr>
              <w:t>Recommended action</w:t>
            </w:r>
          </w:p>
        </w:tc>
      </w:tr>
      <w:tr>
        <w:tc>
          <w:tcPr>
            <w:tcW w:type="dxa" w:w="648"/>
            <w:vAlign w:val="top"/>
            <w:tcMar>
              <w:top w:w="90" w:type="dxa"/>
              <w:start w:w="120" w:type="dxa"/>
              <w:bottom w:w="90" w:type="dxa"/>
              <w:end w:w="120" w:type="dxa"/>
            </w:tcMar>
          </w:tcPr>
          <w:p>
            <w:pPr>
              <w:spacing w:after="0"/>
            </w:pPr>
            <w:r/>
            <w:r>
              <w:rPr>
                <w:b w:val="0"/>
                <w:sz w:val="18"/>
              </w:rPr>
              <w:t>1</w:t>
            </w:r>
          </w:p>
        </w:tc>
        <w:tc>
          <w:tcPr>
            <w:tcW w:type="dxa" w:w="2232"/>
            <w:vAlign w:val="top"/>
            <w:tcMar>
              <w:top w:w="90" w:type="dxa"/>
              <w:start w:w="120" w:type="dxa"/>
              <w:bottom w:w="90" w:type="dxa"/>
              <w:end w:w="120" w:type="dxa"/>
            </w:tcMar>
          </w:tcPr>
          <w:p>
            <w:pPr>
              <w:spacing w:after="0"/>
            </w:pPr>
            <w:r/>
            <w:r>
              <w:rPr>
                <w:b w:val="0"/>
                <w:sz w:val="18"/>
              </w:rPr>
              <w:t>Build/type health</w:t>
            </w:r>
          </w:p>
        </w:tc>
        <w:tc>
          <w:tcPr>
            <w:tcW w:type="dxa" w:w="3240"/>
            <w:vAlign w:val="top"/>
            <w:tcMar>
              <w:top w:w="90" w:type="dxa"/>
              <w:start w:w="120" w:type="dxa"/>
              <w:bottom w:w="90" w:type="dxa"/>
              <w:end w:w="120" w:type="dxa"/>
            </w:tcMar>
          </w:tcPr>
          <w:p>
            <w:pPr>
              <w:spacing w:after="0"/>
            </w:pPr>
            <w:r/>
            <w:r>
              <w:rPr>
                <w:b w:val="0"/>
                <w:sz w:val="18"/>
              </w:rPr>
              <w:t>Typecheck has many errors; deployment confidence is reduced.</w:t>
            </w:r>
          </w:p>
        </w:tc>
        <w:tc>
          <w:tcPr>
            <w:tcW w:type="dxa" w:w="4320"/>
            <w:vAlign w:val="top"/>
            <w:tcMar>
              <w:top w:w="90" w:type="dxa"/>
              <w:start w:w="120" w:type="dxa"/>
              <w:bottom w:w="90" w:type="dxa"/>
              <w:end w:w="120" w:type="dxa"/>
            </w:tcMar>
          </w:tcPr>
          <w:p>
            <w:pPr>
              <w:spacing w:after="0"/>
            </w:pPr>
            <w:r/>
            <w:r>
              <w:rPr>
                <w:b w:val="0"/>
                <w:sz w:val="18"/>
              </w:rPr>
              <w:t>Fix Next 15 route params, non-module pages, broken types, duplicate implementations, outdated mutation flags.</w:t>
            </w:r>
          </w:p>
        </w:tc>
      </w:tr>
      <w:tr>
        <w:tc>
          <w:tcPr>
            <w:tcW w:type="dxa" w:w="648"/>
            <w:vAlign w:val="top"/>
            <w:tcMar>
              <w:top w:w="90" w:type="dxa"/>
              <w:start w:w="120" w:type="dxa"/>
              <w:bottom w:w="90" w:type="dxa"/>
              <w:end w:w="120" w:type="dxa"/>
            </w:tcMar>
          </w:tcPr>
          <w:p>
            <w:pPr>
              <w:spacing w:after="0"/>
            </w:pPr>
            <w:r/>
            <w:r>
              <w:rPr>
                <w:b w:val="0"/>
                <w:sz w:val="18"/>
              </w:rPr>
              <w:t>2</w:t>
            </w:r>
          </w:p>
        </w:tc>
        <w:tc>
          <w:tcPr>
            <w:tcW w:type="dxa" w:w="2232"/>
            <w:vAlign w:val="top"/>
            <w:tcMar>
              <w:top w:w="90" w:type="dxa"/>
              <w:start w:w="120" w:type="dxa"/>
              <w:bottom w:w="90" w:type="dxa"/>
              <w:end w:w="120" w:type="dxa"/>
            </w:tcMar>
          </w:tcPr>
          <w:p>
            <w:pPr>
              <w:spacing w:after="0"/>
            </w:pPr>
            <w:r/>
            <w:r>
              <w:rPr>
                <w:b w:val="0"/>
                <w:sz w:val="18"/>
              </w:rPr>
              <w:t>Money ledger consistency</w:t>
            </w:r>
          </w:p>
        </w:tc>
        <w:tc>
          <w:tcPr>
            <w:tcW w:type="dxa" w:w="3240"/>
            <w:vAlign w:val="top"/>
            <w:tcMar>
              <w:top w:w="90" w:type="dxa"/>
              <w:start w:w="120" w:type="dxa"/>
              <w:bottom w:w="90" w:type="dxa"/>
              <w:end w:w="120" w:type="dxa"/>
            </w:tcMar>
          </w:tcPr>
          <w:p>
            <w:pPr>
              <w:spacing w:after="0"/>
            </w:pPr>
            <w:r/>
            <w:r>
              <w:rPr>
                <w:b w:val="0"/>
                <w:sz w:val="18"/>
              </w:rPr>
              <w:t>Fees, family, uniforms, requirements, banking, and SchoolPay use different storage patterns.</w:t>
            </w:r>
          </w:p>
        </w:tc>
        <w:tc>
          <w:tcPr>
            <w:tcW w:type="dxa" w:w="4320"/>
            <w:vAlign w:val="top"/>
            <w:tcMar>
              <w:top w:w="90" w:type="dxa"/>
              <w:start w:w="120" w:type="dxa"/>
              <w:bottom w:w="90" w:type="dxa"/>
              <w:end w:w="120" w:type="dxa"/>
            </w:tcMar>
          </w:tcPr>
          <w:p>
            <w:pPr>
              <w:spacing w:after="0"/>
            </w:pPr>
            <w:r/>
            <w:r>
              <w:rPr>
                <w:b w:val="0"/>
                <w:sz w:val="18"/>
              </w:rPr>
              <w:t>Create a finance reconciliation layer and shared money calculation contracts.</w:t>
            </w:r>
          </w:p>
        </w:tc>
      </w:tr>
      <w:tr>
        <w:tc>
          <w:tcPr>
            <w:tcW w:type="dxa" w:w="648"/>
            <w:vAlign w:val="top"/>
            <w:tcMar>
              <w:top w:w="90" w:type="dxa"/>
              <w:start w:w="120" w:type="dxa"/>
              <w:bottom w:w="90" w:type="dxa"/>
              <w:end w:w="120" w:type="dxa"/>
            </w:tcMar>
          </w:tcPr>
          <w:p>
            <w:pPr>
              <w:spacing w:after="0"/>
            </w:pPr>
            <w:r/>
            <w:r>
              <w:rPr>
                <w:b w:val="0"/>
                <w:sz w:val="18"/>
              </w:rPr>
              <w:t>3</w:t>
            </w:r>
          </w:p>
        </w:tc>
        <w:tc>
          <w:tcPr>
            <w:tcW w:type="dxa" w:w="2232"/>
            <w:vAlign w:val="top"/>
            <w:tcMar>
              <w:top w:w="90" w:type="dxa"/>
              <w:start w:w="120" w:type="dxa"/>
              <w:bottom w:w="90" w:type="dxa"/>
              <w:end w:w="120" w:type="dxa"/>
            </w:tcMar>
          </w:tcPr>
          <w:p>
            <w:pPr>
              <w:spacing w:after="0"/>
            </w:pPr>
            <w:r/>
            <w:r>
              <w:rPr>
                <w:b w:val="0"/>
                <w:sz w:val="18"/>
              </w:rPr>
              <w:t>Audit and accountability</w:t>
            </w:r>
          </w:p>
        </w:tc>
        <w:tc>
          <w:tcPr>
            <w:tcW w:type="dxa" w:w="3240"/>
            <w:vAlign w:val="top"/>
            <w:tcMar>
              <w:top w:w="90" w:type="dxa"/>
              <w:start w:w="120" w:type="dxa"/>
              <w:bottom w:w="90" w:type="dxa"/>
              <w:end w:w="120" w:type="dxa"/>
            </w:tcMar>
          </w:tcPr>
          <w:p>
            <w:pPr>
              <w:spacing w:after="0"/>
            </w:pPr>
            <w:r/>
            <w:r>
              <w:rPr>
                <w:b w:val="0"/>
                <w:sz w:val="18"/>
              </w:rPr>
              <w:t>Some actions use Current User placeholders, browser confirms, or incomplete user metadata.</w:t>
            </w:r>
          </w:p>
        </w:tc>
        <w:tc>
          <w:tcPr>
            <w:tcW w:type="dxa" w:w="4320"/>
            <w:vAlign w:val="top"/>
            <w:tcMar>
              <w:top w:w="90" w:type="dxa"/>
              <w:start w:w="120" w:type="dxa"/>
              <w:bottom w:w="90" w:type="dxa"/>
              <w:end w:w="120" w:type="dxa"/>
            </w:tcMar>
          </w:tcPr>
          <w:p>
            <w:pPr>
              <w:spacing w:after="0"/>
            </w:pPr>
            <w:r/>
            <w:r>
              <w:rPr>
                <w:b w:val="0"/>
                <w:sz w:val="18"/>
              </w:rPr>
              <w:t>Centralize current-user attribution and require reason/approval for sensitive reversals/deletes.</w:t>
            </w:r>
          </w:p>
        </w:tc>
      </w:tr>
      <w:tr>
        <w:tc>
          <w:tcPr>
            <w:tcW w:type="dxa" w:w="648"/>
            <w:vAlign w:val="top"/>
            <w:tcMar>
              <w:top w:w="90" w:type="dxa"/>
              <w:start w:w="120" w:type="dxa"/>
              <w:bottom w:w="90" w:type="dxa"/>
              <w:end w:w="120" w:type="dxa"/>
            </w:tcMar>
          </w:tcPr>
          <w:p>
            <w:pPr>
              <w:spacing w:after="0"/>
            </w:pPr>
            <w:r/>
            <w:r>
              <w:rPr>
                <w:b w:val="0"/>
                <w:sz w:val="18"/>
              </w:rPr>
              <w:t>4</w:t>
            </w:r>
          </w:p>
        </w:tc>
        <w:tc>
          <w:tcPr>
            <w:tcW w:type="dxa" w:w="2232"/>
            <w:vAlign w:val="top"/>
            <w:tcMar>
              <w:top w:w="90" w:type="dxa"/>
              <w:start w:w="120" w:type="dxa"/>
              <w:bottom w:w="90" w:type="dxa"/>
              <w:end w:w="120" w:type="dxa"/>
            </w:tcMar>
          </w:tcPr>
          <w:p>
            <w:pPr>
              <w:spacing w:after="0"/>
            </w:pPr>
            <w:r/>
            <w:r>
              <w:rPr>
                <w:b w:val="0"/>
                <w:sz w:val="18"/>
              </w:rPr>
              <w:t>Admin tool safety</w:t>
            </w:r>
          </w:p>
        </w:tc>
        <w:tc>
          <w:tcPr>
            <w:tcW w:type="dxa" w:w="3240"/>
            <w:vAlign w:val="top"/>
            <w:tcMar>
              <w:top w:w="90" w:type="dxa"/>
              <w:start w:w="120" w:type="dxa"/>
              <w:bottom w:w="90" w:type="dxa"/>
              <w:end w:w="120" w:type="dxa"/>
            </w:tcMar>
          </w:tcPr>
          <w:p>
            <w:pPr>
              <w:spacing w:after="0"/>
            </w:pPr>
            <w:r/>
            <w:r>
              <w:rPr>
                <w:b w:val="0"/>
                <w:sz w:val="18"/>
              </w:rPr>
              <w:t>Debug, test, cleanup, migration, and fix routes are visible in the app tree.</w:t>
            </w:r>
          </w:p>
        </w:tc>
        <w:tc>
          <w:tcPr>
            <w:tcW w:type="dxa" w:w="4320"/>
            <w:vAlign w:val="top"/>
            <w:tcMar>
              <w:top w:w="90" w:type="dxa"/>
              <w:start w:w="120" w:type="dxa"/>
              <w:bottom w:w="90" w:type="dxa"/>
              <w:end w:w="120" w:type="dxa"/>
            </w:tcMar>
          </w:tcPr>
          <w:p>
            <w:pPr>
              <w:spacing w:after="0"/>
            </w:pPr>
            <w:r/>
            <w:r>
              <w:rPr>
                <w:b w:val="0"/>
                <w:sz w:val="18"/>
              </w:rPr>
              <w:t>Gate all admin/dev tools behind strict role checks and environment flags.</w:t>
            </w:r>
          </w:p>
        </w:tc>
      </w:tr>
      <w:tr>
        <w:tc>
          <w:tcPr>
            <w:tcW w:type="dxa" w:w="648"/>
            <w:vAlign w:val="top"/>
            <w:tcMar>
              <w:top w:w="90" w:type="dxa"/>
              <w:start w:w="120" w:type="dxa"/>
              <w:bottom w:w="90" w:type="dxa"/>
              <w:end w:w="120" w:type="dxa"/>
            </w:tcMar>
          </w:tcPr>
          <w:p>
            <w:pPr>
              <w:spacing w:after="0"/>
            </w:pPr>
            <w:r/>
            <w:r>
              <w:rPr>
                <w:b w:val="0"/>
                <w:sz w:val="18"/>
              </w:rPr>
              <w:t>5</w:t>
            </w:r>
          </w:p>
        </w:tc>
        <w:tc>
          <w:tcPr>
            <w:tcW w:type="dxa" w:w="2232"/>
            <w:vAlign w:val="top"/>
            <w:tcMar>
              <w:top w:w="90" w:type="dxa"/>
              <w:start w:w="120" w:type="dxa"/>
              <w:bottom w:w="90" w:type="dxa"/>
              <w:end w:w="120" w:type="dxa"/>
            </w:tcMar>
          </w:tcPr>
          <w:p>
            <w:pPr>
              <w:spacing w:after="0"/>
            </w:pPr>
            <w:r/>
            <w:r>
              <w:rPr>
                <w:b w:val="0"/>
                <w:sz w:val="18"/>
              </w:rPr>
              <w:t>User experience consistency</w:t>
            </w:r>
          </w:p>
        </w:tc>
        <w:tc>
          <w:tcPr>
            <w:tcW w:type="dxa" w:w="3240"/>
            <w:vAlign w:val="top"/>
            <w:tcMar>
              <w:top w:w="90" w:type="dxa"/>
              <w:start w:w="120" w:type="dxa"/>
              <w:bottom w:w="90" w:type="dxa"/>
              <w:end w:w="120" w:type="dxa"/>
            </w:tcMar>
          </w:tcPr>
          <w:p>
            <w:pPr>
              <w:spacing w:after="0"/>
            </w:pPr>
            <w:r/>
            <w:r>
              <w:rPr>
                <w:b w:val="0"/>
                <w:sz w:val="18"/>
              </w:rPr>
              <w:t>Many modules use alert/window.confirm and dense page-level logic.</w:t>
            </w:r>
          </w:p>
        </w:tc>
        <w:tc>
          <w:tcPr>
            <w:tcW w:type="dxa" w:w="4320"/>
            <w:vAlign w:val="top"/>
            <w:tcMar>
              <w:top w:w="90" w:type="dxa"/>
              <w:start w:w="120" w:type="dxa"/>
              <w:bottom w:w="90" w:type="dxa"/>
              <w:end w:w="120" w:type="dxa"/>
            </w:tcMar>
          </w:tcPr>
          <w:p>
            <w:pPr>
              <w:spacing w:after="0"/>
            </w:pPr>
            <w:r/>
            <w:r>
              <w:rPr>
                <w:b w:val="0"/>
                <w:sz w:val="18"/>
              </w:rPr>
              <w:t>Replace with consistent modals, toasts, validation, and workflow-specific dashboards.</w:t>
            </w:r>
          </w:p>
        </w:tc>
      </w:tr>
      <w:tr>
        <w:tc>
          <w:tcPr>
            <w:tcW w:type="dxa" w:w="648"/>
            <w:vAlign w:val="top"/>
            <w:tcMar>
              <w:top w:w="90" w:type="dxa"/>
              <w:start w:w="120" w:type="dxa"/>
              <w:bottom w:w="90" w:type="dxa"/>
              <w:end w:w="120" w:type="dxa"/>
            </w:tcMar>
          </w:tcPr>
          <w:p>
            <w:pPr>
              <w:spacing w:after="0"/>
            </w:pPr>
            <w:r/>
            <w:r>
              <w:rPr>
                <w:b w:val="0"/>
                <w:sz w:val="18"/>
              </w:rPr>
              <w:t>6</w:t>
            </w:r>
          </w:p>
        </w:tc>
        <w:tc>
          <w:tcPr>
            <w:tcW w:type="dxa" w:w="2232"/>
            <w:vAlign w:val="top"/>
            <w:tcMar>
              <w:top w:w="90" w:type="dxa"/>
              <w:start w:w="120" w:type="dxa"/>
              <w:bottom w:w="90" w:type="dxa"/>
              <w:end w:w="120" w:type="dxa"/>
            </w:tcMar>
          </w:tcPr>
          <w:p>
            <w:pPr>
              <w:spacing w:after="0"/>
            </w:pPr>
            <w:r/>
            <w:r>
              <w:rPr>
                <w:b w:val="0"/>
                <w:sz w:val="18"/>
              </w:rPr>
              <w:t>Reporting</w:t>
            </w:r>
          </w:p>
        </w:tc>
        <w:tc>
          <w:tcPr>
            <w:tcW w:type="dxa" w:w="3240"/>
            <w:vAlign w:val="top"/>
            <w:tcMar>
              <w:top w:w="90" w:type="dxa"/>
              <w:start w:w="120" w:type="dxa"/>
              <w:bottom w:w="90" w:type="dxa"/>
              <w:end w:w="120" w:type="dxa"/>
            </w:tcMar>
          </w:tcPr>
          <w:p>
            <w:pPr>
              <w:spacing w:after="0"/>
            </w:pPr>
            <w:r/>
            <w:r>
              <w:rPr>
                <w:b w:val="0"/>
                <w:sz w:val="18"/>
              </w:rPr>
              <w:t>The system has many records but needs stronger management intelligence.</w:t>
            </w:r>
          </w:p>
        </w:tc>
        <w:tc>
          <w:tcPr>
            <w:tcW w:type="dxa" w:w="4320"/>
            <w:vAlign w:val="top"/>
            <w:tcMar>
              <w:top w:w="90" w:type="dxa"/>
              <w:start w:w="120" w:type="dxa"/>
              <w:bottom w:w="90" w:type="dxa"/>
              <w:end w:w="120" w:type="dxa"/>
            </w:tcMar>
          </w:tcPr>
          <w:p>
            <w:pPr>
              <w:spacing w:after="0"/>
            </w:pPr>
            <w:r/>
            <w:r>
              <w:rPr>
                <w:b w:val="0"/>
                <w:sz w:val="18"/>
              </w:rPr>
              <w:t>Add arrears, attendance risk, inventory reorder, procurement spend, and communication dashboards.</w:t>
            </w:r>
          </w:p>
        </w:tc>
      </w:tr>
    </w:tbl>
    <w:p>
      <w:pPr>
        <w:pStyle w:val="Heading1"/>
      </w:pPr>
      <w:r>
        <w:t>Observed Errors and Risks</w:t>
      </w:r>
    </w:p>
    <w:p>
      <w:pPr>
        <w:pStyle w:val="Heading2"/>
      </w:pPr>
      <w:r>
        <w:t>1. Typecheck and Build Stability</w:t>
      </w:r>
    </w:p>
    <w:p>
      <w:pPr>
        <w:pStyle w:val="ListBullet"/>
        <w:spacing w:after="60"/>
        <w:ind w:left="360" w:hanging="216"/>
      </w:pPr>
      <w:r>
        <w:t>The codebase currently fails TypeScript checking. This should be treated as a deployment risk because compile-time checks are not giving a clean safety signal.</w:t>
      </w:r>
    </w:p>
    <w:p>
      <w:pPr>
        <w:pStyle w:val="ListBullet"/>
        <w:spacing w:after="60"/>
        <w:ind w:left="360" w:hanging="216"/>
      </w:pPr>
      <w:r>
        <w:t>Next.js 15 route handler signatures need updating in routes such as dynamic API routes where params are now expected as a Promise in generated validation.</w:t>
      </w:r>
    </w:p>
    <w:p>
      <w:pPr>
        <w:pStyle w:val="ListBullet"/>
        <w:spacing w:after="60"/>
        <w:ind w:left="360" w:hanging="216"/>
      </w:pPr>
      <w:r>
        <w:t>Some pages are reported as not being modules, including fee assignment pages. These should export valid Next.js page modules.</w:t>
      </w:r>
    </w:p>
    <w:p>
      <w:pPr>
        <w:pStyle w:val="ListBullet"/>
        <w:spacing w:after="60"/>
        <w:ind w:left="360" w:hanging="216"/>
      </w:pPr>
      <w:r>
        <w:t>There are type mismatches in exams/report generation, procurement, requirement tracking, notifications, boarding mutation state, and scripts.</w:t>
      </w:r>
    </w:p>
    <w:p>
      <w:pPr>
        <w:pStyle w:val="ListBullet"/>
        <w:spacing w:after="60"/>
        <w:ind w:left="360" w:hanging="216"/>
      </w:pPr>
      <w:r>
        <w:t>Recommendation: create a short ?typecheck cleanup sprint? before adding major features. Fix errors by domain, then enforce typecheck in CI before deployment.</w:t>
      </w:r>
    </w:p>
    <w:p>
      <w:pPr>
        <w:pStyle w:val="Heading2"/>
      </w:pPr>
      <w:r>
        <w:t>2. Duplicate, Legacy, and Debug Surfaces</w:t>
      </w:r>
    </w:p>
    <w:p>
      <w:pPr>
        <w:pStyle w:val="ListBullet"/>
        <w:spacing w:after="60"/>
        <w:ind w:left="360" w:hanging="216"/>
      </w:pPr>
      <w:r>
        <w:t>The app tree contains backup or alternate files such as attendance view variants, page-v2, backup pages, debug pages, test pages, cleanup pages, and migration/fix pages.</w:t>
      </w:r>
    </w:p>
    <w:p>
      <w:pPr>
        <w:pStyle w:val="ListBullet"/>
        <w:spacing w:after="60"/>
        <w:ind w:left="360" w:hanging="216"/>
      </w:pPr>
      <w:r>
        <w:t>These are useful during development but risky in production because they can expose admin operations, confuse navigation, or keep old behavior alive.</w:t>
      </w:r>
    </w:p>
    <w:p>
      <w:pPr>
        <w:pStyle w:val="ListBullet"/>
        <w:spacing w:after="60"/>
        <w:ind w:left="360" w:hanging="216"/>
      </w:pPr>
      <w:r>
        <w:t>Recommendation: move maintenance tools to a locked admin area, hide test/debug routes in production, and delete or archive old backup files outside src/app.</w:t>
      </w:r>
    </w:p>
    <w:p>
      <w:pPr>
        <w:pStyle w:val="Heading2"/>
      </w:pPr>
      <w:r>
        <w:t>3. Money Logic Is Spread Across Several Ledgers</w:t>
      </w:r>
    </w:p>
    <w:p>
      <w:pPr>
        <w:pStyle w:val="ListBullet"/>
        <w:spacing w:after="60"/>
        <w:ind w:left="360" w:hanging="216"/>
      </w:pPr>
      <w:r>
        <w:t>School fees use payments, carry-forward metadata, fee structures, and dynamic discounts.</w:t>
      </w:r>
    </w:p>
    <w:p>
      <w:pPr>
        <w:pStyle w:val="ListBullet"/>
        <w:spacing w:after="60"/>
        <w:ind w:left="360" w:hanging="216"/>
      </w:pPr>
      <w:r>
        <w:t>Uniforms sometimes use payments and also update uniform tracking paidAmount/paymentStatus.</w:t>
      </w:r>
    </w:p>
    <w:p>
      <w:pPr>
        <w:pStyle w:val="ListBullet"/>
        <w:spacing w:after="60"/>
        <w:ind w:left="360" w:hanging="216"/>
      </w:pPr>
      <w:r>
        <w:t>Requirements use requirement-tracking paidAmount/paymentStatus rather than payments.</w:t>
      </w:r>
    </w:p>
    <w:p>
      <w:pPr>
        <w:pStyle w:val="ListBullet"/>
        <w:spacing w:after="60"/>
        <w:ind w:left="360" w:hanging="216"/>
      </w:pPr>
      <w:r>
        <w:t>Banking uses bankAccounts, bankTransactions, and bankLoans.</w:t>
      </w:r>
    </w:p>
    <w:p>
      <w:pPr>
        <w:pStyle w:val="ListBullet"/>
        <w:spacing w:after="60"/>
        <w:ind w:left="360" w:hanging="216"/>
      </w:pPr>
      <w:r>
        <w:t>Risk: screens can disagree if each page recalculates balances differently. Recent family/carry-forward issues came from this exact pattern.</w:t>
      </w:r>
    </w:p>
    <w:p>
      <w:pPr>
        <w:pStyle w:val="ListBullet"/>
        <w:spacing w:after="60"/>
        <w:ind w:left="360" w:hanging="216"/>
      </w:pPr>
      <w:r>
        <w:t>Recommendation: create a Finance Calculation Service that produces one canonical balance object for every pupil/family: current fees, carry forward, uniform charges, requirement balances, banking balance, payments, reversals, and source records.</w:t>
      </w:r>
    </w:p>
    <w:p>
      <w:pPr>
        <w:pStyle w:val="Heading2"/>
      </w:pPr>
      <w:r>
        <w:t>4. Reversal, Delete, and Payment Safety</w:t>
      </w:r>
    </w:p>
    <w:p>
      <w:pPr>
        <w:pStyle w:val="ListBullet"/>
        <w:spacing w:after="60"/>
        <w:ind w:left="360" w:hanging="216"/>
      </w:pPr>
      <w:r>
        <w:t>Several modules allow delete/revert/cleanup actions through window.confirm or simple alerts. This works, but it does not create a strong approval trail.</w:t>
      </w:r>
    </w:p>
    <w:p>
      <w:pPr>
        <w:pStyle w:val="ListBullet"/>
        <w:spacing w:after="60"/>
        <w:ind w:left="360" w:hanging="216"/>
      </w:pPr>
      <w:r>
        <w:t>Some records use placeholder actor names like Current User in payment or tracking-related flows.</w:t>
      </w:r>
    </w:p>
    <w:p>
      <w:pPr>
        <w:pStyle w:val="ListBullet"/>
        <w:spacing w:after="60"/>
        <w:ind w:left="360" w:hanging="216"/>
      </w:pPr>
      <w:r>
        <w:t>Recommendation: require authenticated actor metadata, reason, timestamp, and optional supervisor PIN/password for reversals, deletions, carry-forward changes, and bulk cleanups.</w:t>
      </w:r>
    </w:p>
    <w:p>
      <w:pPr>
        <w:pStyle w:val="Heading2"/>
      </w:pPr>
      <w:r>
        <w:t>5. Authentication and Local Storage Risk</w:t>
      </w:r>
    </w:p>
    <w:p>
      <w:pPr>
        <w:pStyle w:val="ListBullet"/>
        <w:spacing w:after="60"/>
        <w:ind w:left="360" w:hanging="216"/>
      </w:pPr>
      <w:r>
        <w:t>Auth/session state is restored from localStorage in several places. This improves convenience but can become risky if stale user data stays valid too long or if role changes are not refreshed quickly.</w:t>
      </w:r>
    </w:p>
    <w:p>
      <w:pPr>
        <w:pStyle w:val="ListBullet"/>
        <w:spacing w:after="60"/>
        <w:ind w:left="360" w:hanging="216"/>
      </w:pPr>
      <w:r>
        <w:t>Recommendation: keep local storage only as a short-lived UX cache, but always refresh active role/permissions from the database. Add a visible ?session stale? or forced refresh path after permission changes.</w:t>
      </w:r>
    </w:p>
    <w:p>
      <w:pPr>
        <w:pStyle w:val="Heading2"/>
      </w:pPr>
      <w:r>
        <w:t>6. Console Logging and Browser Alerts</w:t>
      </w:r>
    </w:p>
    <w:p>
      <w:pPr>
        <w:pStyle w:val="ListBullet"/>
        <w:spacing w:after="60"/>
        <w:ind w:left="360" w:hanging="216"/>
      </w:pPr>
      <w:r>
        <w:t>There is extensive console logging and many alert/window.confirm calls across production modules.</w:t>
      </w:r>
    </w:p>
    <w:p>
      <w:pPr>
        <w:pStyle w:val="ListBullet"/>
        <w:spacing w:after="60"/>
        <w:ind w:left="360" w:hanging="216"/>
      </w:pPr>
      <w:r>
        <w:t>Recommendation: use a shared logger that can be quiet in production, plus standard toast/dialog components for validation, confirmation, and error handling.</w:t>
      </w:r>
    </w:p>
    <w:p>
      <w:pPr>
        <w:pStyle w:val="Heading1"/>
      </w:pPr>
      <w:r>
        <w:t>Suggested Improvements by Module</w:t>
      </w:r>
    </w:p>
    <w:p>
      <w:pPr>
        <w:pStyle w:val="Heading2"/>
      </w:pPr>
      <w:r>
        <w:t>Fees and Family Accounts</w:t>
      </w:r>
    </w:p>
    <w:p>
      <w:pPr>
        <w:pStyle w:val="ListBullet"/>
        <w:spacing w:after="60"/>
        <w:ind w:left="360" w:hanging="216"/>
      </w:pPr>
      <w:r>
        <w:t>Create a canonical fee statement engine used by pupil collection, family account, parent fees, printouts, and analytics.</w:t>
      </w:r>
    </w:p>
    <w:p>
      <w:pPr>
        <w:pStyle w:val="ListBullet"/>
        <w:spacing w:after="60"/>
        <w:ind w:left="360" w:hanging="216"/>
      </w:pPr>
      <w:r>
        <w:t>Add reconciliation checks: total due, carry-forward due, current-term fees, paid amount, reversed amount, SchoolPay amount, uniform amount, and remaining balance must agree across pages.</w:t>
      </w:r>
    </w:p>
    <w:p>
      <w:pPr>
        <w:pStyle w:val="ListBullet"/>
        <w:spacing w:after="60"/>
        <w:ind w:left="360" w:hanging="216"/>
      </w:pPr>
      <w:r>
        <w:t>Add a Finance Discrepancy Report that flags pupils whose family page and pupil collection page disagree.</w:t>
      </w:r>
    </w:p>
    <w:p>
      <w:pPr>
        <w:pStyle w:val="ListBullet"/>
        <w:spacing w:after="60"/>
        <w:ind w:left="360" w:hanging="216"/>
      </w:pPr>
      <w:r>
        <w:t>Add payment allocation preview before saving multi-fee and family payments.</w:t>
      </w:r>
    </w:p>
    <w:p>
      <w:pPr>
        <w:pStyle w:val="ListBullet"/>
        <w:spacing w:after="60"/>
        <w:ind w:left="360" w:hanging="216"/>
      </w:pPr>
      <w:r>
        <w:t>Add clear payment source labels: Manual, Family, SchoolPay, Carry Forward, Uniform, Reversal, Adjustment.</w:t>
      </w:r>
    </w:p>
    <w:p>
      <w:pPr>
        <w:pStyle w:val="Heading2"/>
      </w:pPr>
      <w:r>
        <w:t>Attendance</w:t>
      </w:r>
    </w:p>
    <w:p>
      <w:pPr>
        <w:pStyle w:val="ListBullet"/>
        <w:spacing w:after="60"/>
        <w:ind w:left="360" w:hanging="216"/>
      </w:pPr>
      <w:r>
        <w:t>Add attendance risk dashboard: frequent absentees, late trends, class attendance heatmap, and pupils missing multiple days in a week.</w:t>
      </w:r>
    </w:p>
    <w:p>
      <w:pPr>
        <w:pStyle w:val="ListBullet"/>
        <w:spacing w:after="60"/>
        <w:ind w:left="360" w:hanging="216"/>
      </w:pPr>
      <w:r>
        <w:t>Add parent-facing attendance explanation/request flow so parents can submit absence reasons.</w:t>
      </w:r>
    </w:p>
    <w:p>
      <w:pPr>
        <w:pStyle w:val="ListBullet"/>
        <w:spacing w:after="60"/>
        <w:ind w:left="360" w:hanging="216"/>
      </w:pPr>
      <w:r>
        <w:t>Add daily closure workflow: class teacher confirms attendance is complete before admin reports are finalized.</w:t>
      </w:r>
    </w:p>
    <w:p>
      <w:pPr>
        <w:pStyle w:val="Heading2"/>
      </w:pPr>
      <w:r>
        <w:t>Exams and Reports</w:t>
      </w:r>
    </w:p>
    <w:p>
      <w:pPr>
        <w:pStyle w:val="ListBullet"/>
        <w:spacing w:after="60"/>
        <w:ind w:left="360" w:hanging="216"/>
      </w:pPr>
      <w:r>
        <w:t>Clean up report-generation types and make one shared result model for nursery, primary, PLE, batch reports, comparison reports, and parent results.</w:t>
      </w:r>
    </w:p>
    <w:p>
      <w:pPr>
        <w:pStyle w:val="ListBullet"/>
        <w:spacing w:after="60"/>
        <w:ind w:left="360" w:hanging="216"/>
      </w:pPr>
      <w:r>
        <w:t>Add report publishing workflow: draft, reviewed, approved, released to parent portal.</w:t>
      </w:r>
    </w:p>
    <w:p>
      <w:pPr>
        <w:pStyle w:val="ListBullet"/>
        <w:spacing w:after="60"/>
        <w:ind w:left="360" w:hanging="216"/>
      </w:pPr>
      <w:r>
        <w:t>Add result anomaly checks: missing marks, impossible marks, duplicate subject entries, absent pupils, unusually large score changes.</w:t>
      </w:r>
    </w:p>
    <w:p>
      <w:pPr>
        <w:pStyle w:val="Heading2"/>
      </w:pPr>
      <w:r>
        <w:t>Requirements and Uniforms</w:t>
      </w:r>
    </w:p>
    <w:p>
      <w:pPr>
        <w:pStyle w:val="ListBullet"/>
        <w:spacing w:after="60"/>
        <w:ind w:left="360" w:hanging="216"/>
      </w:pPr>
      <w:r>
        <w:t>Create a shared ?chargeable item? model for items that behave like money but are not normal school fees.</w:t>
      </w:r>
    </w:p>
    <w:p>
      <w:pPr>
        <w:pStyle w:val="ListBullet"/>
        <w:spacing w:after="60"/>
        <w:ind w:left="360" w:hanging="216"/>
      </w:pPr>
      <w:r>
        <w:t>Add stock-aware uniform sales: when a uniform is issued, inventory reduces automatically; when collection is undone, inventory returns.</w:t>
      </w:r>
    </w:p>
    <w:p>
      <w:pPr>
        <w:pStyle w:val="ListBullet"/>
        <w:spacing w:after="60"/>
        <w:ind w:left="360" w:hanging="216"/>
      </w:pPr>
      <w:r>
        <w:t>Add requirement balance report by class, family, and term.</w:t>
      </w:r>
    </w:p>
    <w:p>
      <w:pPr>
        <w:pStyle w:val="ListBullet"/>
        <w:spacing w:after="60"/>
        <w:ind w:left="360" w:hanging="216"/>
      </w:pPr>
      <w:r>
        <w:t>Add bulk import/update for requirement and uniform prices with audit trail.</w:t>
      </w:r>
    </w:p>
    <w:p>
      <w:pPr>
        <w:pStyle w:val="Heading2"/>
      </w:pPr>
      <w:r>
        <w:t>Banking</w:t>
      </w:r>
    </w:p>
    <w:p>
      <w:pPr>
        <w:pStyle w:val="ListBullet"/>
        <w:spacing w:after="60"/>
        <w:ind w:left="360" w:hanging="216"/>
      </w:pPr>
      <w:r>
        <w:t>Add double-entry-style reconciliation: every balance should be explainable by transactions.</w:t>
      </w:r>
    </w:p>
    <w:p>
      <w:pPr>
        <w:pStyle w:val="ListBullet"/>
        <w:spacing w:after="60"/>
        <w:ind w:left="360" w:hanging="216"/>
      </w:pPr>
      <w:r>
        <w:t>Add cashier daily closing report for deposits, withdrawals, loan disbursements, repayments, and reversals.</w:t>
      </w:r>
    </w:p>
    <w:p>
      <w:pPr>
        <w:pStyle w:val="ListBullet"/>
        <w:spacing w:after="60"/>
        <w:ind w:left="360" w:hanging="216"/>
      </w:pPr>
      <w:r>
        <w:t>Add minimum-balance and outstanding-loan alerts for pupils/families.</w:t>
      </w:r>
    </w:p>
    <w:p>
      <w:pPr>
        <w:pStyle w:val="Heading2"/>
      </w:pPr>
      <w:r>
        <w:t>Procurement and Inventory</w:t>
      </w:r>
    </w:p>
    <w:p>
      <w:pPr>
        <w:pStyle w:val="ListBullet"/>
        <w:spacing w:after="60"/>
        <w:ind w:left="360" w:hanging="216"/>
      </w:pPr>
      <w:r>
        <w:t>Resolve procurement type errors first, then connect procurement purchases to inventory receiving.</w:t>
      </w:r>
    </w:p>
    <w:p>
      <w:pPr>
        <w:pStyle w:val="ListBullet"/>
        <w:spacing w:after="60"/>
        <w:ind w:left="360" w:hanging="216"/>
      </w:pPr>
      <w:r>
        <w:t>Add reorder level alerts, stock movement audit, supplier performance, and budget-versus-actual reports.</w:t>
      </w:r>
    </w:p>
    <w:p>
      <w:pPr>
        <w:pStyle w:val="ListBullet"/>
        <w:spacing w:after="60"/>
        <w:ind w:left="360" w:hanging="216"/>
      </w:pPr>
      <w:r>
        <w:t>Add approval stages for procurement: request, quotation, approval, purchase, received, paid, closed.</w:t>
      </w:r>
    </w:p>
    <w:p>
      <w:pPr>
        <w:pStyle w:val="Heading2"/>
      </w:pPr>
      <w:r>
        <w:t>SMS, Notifications, and Parent Portal</w:t>
      </w:r>
    </w:p>
    <w:p>
      <w:pPr>
        <w:pStyle w:val="ListBullet"/>
        <w:spacing w:after="60"/>
        <w:ind w:left="360" w:hanging="216"/>
      </w:pPr>
      <w:r>
        <w:t>Create a message delivery dashboard showing sent, failed, pending, read, and cost estimate by campaign.</w:t>
      </w:r>
    </w:p>
    <w:p>
      <w:pPr>
        <w:pStyle w:val="ListBullet"/>
        <w:spacing w:after="60"/>
        <w:ind w:left="360" w:hanging="216"/>
      </w:pPr>
      <w:r>
        <w:t>Add communication templates for common workflows: fee reminders, attendance absence, exam release, requirement balance, uniform balance, event notices.</w:t>
      </w:r>
    </w:p>
    <w:p>
      <w:pPr>
        <w:pStyle w:val="ListBullet"/>
        <w:spacing w:after="60"/>
        <w:ind w:left="360" w:hanging="216"/>
      </w:pPr>
      <w:r>
        <w:t>Add parent action center: unpaid balances, requirements due, upcoming events, unread notifications, released reports, and attendance alerts.</w:t>
      </w:r>
    </w:p>
    <w:p>
      <w:pPr>
        <w:pStyle w:val="Heading2"/>
      </w:pPr>
      <w:r>
        <w:t>Security, Permissions, and Audit</w:t>
      </w:r>
    </w:p>
    <w:p>
      <w:pPr>
        <w:pStyle w:val="ListBullet"/>
        <w:spacing w:after="60"/>
        <w:ind w:left="360" w:hanging="216"/>
      </w:pPr>
      <w:r>
        <w:t>Use granular permissions consistently and review all admin/debug/test routes.</w:t>
      </w:r>
    </w:p>
    <w:p>
      <w:pPr>
        <w:pStyle w:val="ListBullet"/>
        <w:spacing w:after="60"/>
        <w:ind w:left="360" w:hanging="216"/>
      </w:pPr>
      <w:r>
        <w:t>Add role-based action audit: who created, edited, reversed, deleted, approved, or exported data.</w:t>
      </w:r>
    </w:p>
    <w:p>
      <w:pPr>
        <w:pStyle w:val="ListBullet"/>
        <w:spacing w:after="60"/>
        <w:ind w:left="360" w:hanging="216"/>
      </w:pPr>
      <w:r>
        <w:t>Add export logs for sensitive data such as pupil lists, fee balances, bank statements, and report cards.</w:t>
      </w:r>
    </w:p>
    <w:p>
      <w:pPr>
        <w:pStyle w:val="Heading1"/>
      </w:pPr>
      <w:r>
        <w:t>Recommended New Components to Add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12"/>
        <w:gridCol w:w="3312"/>
        <w:gridCol w:w="3312"/>
      </w:tblGrid>
      <w:tr>
        <w:tc>
          <w:tcPr>
            <w:tcW w:type="dxa" w:w="2520"/>
            <w:vAlign w:val="top"/>
            <w:tcMar>
              <w:top w:w="90" w:type="dxa"/>
              <w:start w:w="120" w:type="dxa"/>
              <w:bottom w:w="90" w:type="dxa"/>
              <w:end w:w="120" w:type="dxa"/>
            </w:tcMar>
            <w:shd w:fill="0B2545"/>
          </w:tcPr>
          <w:p>
            <w:pPr>
              <w:spacing w:after="0"/>
            </w:pPr>
            <w:r/>
            <w:r>
              <w:rPr>
                <w:b/>
                <w:color w:val="FFFFFF"/>
                <w:sz w:val="18"/>
              </w:rPr>
              <w:t>Component</w:t>
            </w:r>
          </w:p>
        </w:tc>
        <w:tc>
          <w:tcPr>
            <w:tcW w:type="dxa" w:w="6263"/>
            <w:vAlign w:val="top"/>
            <w:tcMar>
              <w:top w:w="90" w:type="dxa"/>
              <w:start w:w="120" w:type="dxa"/>
              <w:bottom w:w="90" w:type="dxa"/>
              <w:end w:w="120" w:type="dxa"/>
            </w:tcMar>
            <w:shd w:fill="0B2545"/>
          </w:tcPr>
          <w:p>
            <w:pPr>
              <w:spacing w:after="0"/>
            </w:pPr>
            <w:r/>
            <w:r>
              <w:rPr>
                <w:b/>
                <w:color w:val="FFFFFF"/>
                <w:sz w:val="18"/>
              </w:rPr>
              <w:t>Purpose</w:t>
            </w:r>
          </w:p>
        </w:tc>
        <w:tc>
          <w:tcPr>
            <w:tcW w:type="dxa" w:w="1224"/>
            <w:vAlign w:val="top"/>
            <w:tcMar>
              <w:top w:w="90" w:type="dxa"/>
              <w:start w:w="120" w:type="dxa"/>
              <w:bottom w:w="90" w:type="dxa"/>
              <w:end w:w="120" w:type="dxa"/>
            </w:tcMar>
            <w:shd w:fill="0B2545"/>
          </w:tcPr>
          <w:p>
            <w:pPr>
              <w:spacing w:after="0"/>
            </w:pPr>
            <w:r/>
            <w:r>
              <w:rPr>
                <w:b/>
                <w:color w:val="FFFFFF"/>
                <w:sz w:val="18"/>
              </w:rPr>
              <w:t>Priority</w:t>
            </w:r>
          </w:p>
        </w:tc>
      </w:tr>
      <w:tr>
        <w:tc>
          <w:tcPr>
            <w:tcW w:type="dxa" w:w="2520"/>
            <w:vAlign w:val="top"/>
            <w:tcMar>
              <w:top w:w="90" w:type="dxa"/>
              <w:start w:w="120" w:type="dxa"/>
              <w:bottom w:w="90" w:type="dxa"/>
              <w:end w:w="120" w:type="dxa"/>
            </w:tcMar>
          </w:tcPr>
          <w:p>
            <w:pPr>
              <w:spacing w:after="0"/>
            </w:pPr>
            <w:r/>
            <w:r>
              <w:rPr>
                <w:b w:val="0"/>
                <w:sz w:val="17"/>
              </w:rPr>
              <w:t>Finance Control Center</w:t>
            </w:r>
          </w:p>
        </w:tc>
        <w:tc>
          <w:tcPr>
            <w:tcW w:type="dxa" w:w="6263"/>
            <w:vAlign w:val="top"/>
            <w:tcMar>
              <w:top w:w="90" w:type="dxa"/>
              <w:start w:w="120" w:type="dxa"/>
              <w:bottom w:w="90" w:type="dxa"/>
              <w:end w:w="120" w:type="dxa"/>
            </w:tcMar>
          </w:tcPr>
          <w:p>
            <w:pPr>
              <w:spacing w:after="0"/>
            </w:pPr>
            <w:r/>
            <w:r>
              <w:rPr>
                <w:b w:val="0"/>
                <w:sz w:val="17"/>
              </w:rPr>
              <w:t>Admin/cashier dashboard showing total expected fees, collected, carry-forward, SchoolPay, reversals, family payments, uniform charges, and discrepancies.</w:t>
            </w:r>
          </w:p>
        </w:tc>
        <w:tc>
          <w:tcPr>
            <w:tcW w:type="dxa" w:w="1224"/>
            <w:vAlign w:val="top"/>
            <w:tcMar>
              <w:top w:w="90" w:type="dxa"/>
              <w:start w:w="120" w:type="dxa"/>
              <w:bottom w:w="90" w:type="dxa"/>
              <w:end w:w="120" w:type="dxa"/>
            </w:tcMar>
          </w:tcPr>
          <w:p>
            <w:pPr>
              <w:spacing w:after="0"/>
            </w:pPr>
            <w:r/>
            <w:r>
              <w:rPr>
                <w:b w:val="0"/>
                <w:sz w:val="17"/>
              </w:rPr>
              <w:t>High</w:t>
            </w:r>
          </w:p>
        </w:tc>
      </w:tr>
      <w:tr>
        <w:tc>
          <w:tcPr>
            <w:tcW w:type="dxa" w:w="2520"/>
            <w:vAlign w:val="top"/>
            <w:tcMar>
              <w:top w:w="90" w:type="dxa"/>
              <w:start w:w="120" w:type="dxa"/>
              <w:bottom w:w="90" w:type="dxa"/>
              <w:end w:w="120" w:type="dxa"/>
            </w:tcMar>
          </w:tcPr>
          <w:p>
            <w:pPr>
              <w:spacing w:after="0"/>
            </w:pPr>
            <w:r/>
            <w:r>
              <w:rPr>
                <w:b w:val="0"/>
                <w:sz w:val="17"/>
              </w:rPr>
              <w:t>Balance Reconciliation Wizard</w:t>
            </w:r>
          </w:p>
        </w:tc>
        <w:tc>
          <w:tcPr>
            <w:tcW w:type="dxa" w:w="6263"/>
            <w:vAlign w:val="top"/>
            <w:tcMar>
              <w:top w:w="90" w:type="dxa"/>
              <w:start w:w="120" w:type="dxa"/>
              <w:bottom w:w="90" w:type="dxa"/>
              <w:end w:w="120" w:type="dxa"/>
            </w:tcMar>
          </w:tcPr>
          <w:p>
            <w:pPr>
              <w:spacing w:after="0"/>
            </w:pPr>
            <w:r/>
            <w:r>
              <w:rPr>
                <w:b w:val="0"/>
                <w:sz w:val="17"/>
              </w:rPr>
              <w:t>Compares pupil page, family page, parent page, and printout balances; shows exact source records causing differences.</w:t>
            </w:r>
          </w:p>
        </w:tc>
        <w:tc>
          <w:tcPr>
            <w:tcW w:type="dxa" w:w="1224"/>
            <w:vAlign w:val="top"/>
            <w:tcMar>
              <w:top w:w="90" w:type="dxa"/>
              <w:start w:w="120" w:type="dxa"/>
              <w:bottom w:w="90" w:type="dxa"/>
              <w:end w:w="120" w:type="dxa"/>
            </w:tcMar>
          </w:tcPr>
          <w:p>
            <w:pPr>
              <w:spacing w:after="0"/>
            </w:pPr>
            <w:r/>
            <w:r>
              <w:rPr>
                <w:b w:val="0"/>
                <w:sz w:val="17"/>
              </w:rPr>
              <w:t>High</w:t>
            </w:r>
          </w:p>
        </w:tc>
      </w:tr>
      <w:tr>
        <w:tc>
          <w:tcPr>
            <w:tcW w:type="dxa" w:w="2520"/>
            <w:vAlign w:val="top"/>
            <w:tcMar>
              <w:top w:w="90" w:type="dxa"/>
              <w:start w:w="120" w:type="dxa"/>
              <w:bottom w:w="90" w:type="dxa"/>
              <w:end w:w="120" w:type="dxa"/>
            </w:tcMar>
          </w:tcPr>
          <w:p>
            <w:pPr>
              <w:spacing w:after="0"/>
            </w:pPr>
            <w:r/>
            <w:r>
              <w:rPr>
                <w:b w:val="0"/>
                <w:sz w:val="17"/>
              </w:rPr>
              <w:t>Daily Cashier Closing</w:t>
            </w:r>
          </w:p>
        </w:tc>
        <w:tc>
          <w:tcPr>
            <w:tcW w:type="dxa" w:w="6263"/>
            <w:vAlign w:val="top"/>
            <w:tcMar>
              <w:top w:w="90" w:type="dxa"/>
              <w:start w:w="120" w:type="dxa"/>
              <w:bottom w:w="90" w:type="dxa"/>
              <w:end w:w="120" w:type="dxa"/>
            </w:tcMar>
          </w:tcPr>
          <w:p>
            <w:pPr>
              <w:spacing w:after="0"/>
            </w:pPr>
            <w:r/>
            <w:r>
              <w:rPr>
                <w:b w:val="0"/>
                <w:sz w:val="17"/>
              </w:rPr>
              <w:t>End-of-day confirmation for manual fee payments, SchoolPay imports, reversals, banking deposits, and withdrawals.</w:t>
            </w:r>
          </w:p>
        </w:tc>
        <w:tc>
          <w:tcPr>
            <w:tcW w:type="dxa" w:w="1224"/>
            <w:vAlign w:val="top"/>
            <w:tcMar>
              <w:top w:w="90" w:type="dxa"/>
              <w:start w:w="120" w:type="dxa"/>
              <w:bottom w:w="90" w:type="dxa"/>
              <w:end w:w="120" w:type="dxa"/>
            </w:tcMar>
          </w:tcPr>
          <w:p>
            <w:pPr>
              <w:spacing w:after="0"/>
            </w:pPr>
            <w:r/>
            <w:r>
              <w:rPr>
                <w:b w:val="0"/>
                <w:sz w:val="17"/>
              </w:rPr>
              <w:t>High</w:t>
            </w:r>
          </w:p>
        </w:tc>
      </w:tr>
      <w:tr>
        <w:tc>
          <w:tcPr>
            <w:tcW w:type="dxa" w:w="2520"/>
            <w:vAlign w:val="top"/>
            <w:tcMar>
              <w:top w:w="90" w:type="dxa"/>
              <w:start w:w="120" w:type="dxa"/>
              <w:bottom w:w="90" w:type="dxa"/>
              <w:end w:w="120" w:type="dxa"/>
            </w:tcMar>
          </w:tcPr>
          <w:p>
            <w:pPr>
              <w:spacing w:after="0"/>
            </w:pPr>
            <w:r/>
            <w:r>
              <w:rPr>
                <w:b w:val="0"/>
                <w:sz w:val="17"/>
              </w:rPr>
              <w:t>Approval Queue</w:t>
            </w:r>
          </w:p>
        </w:tc>
        <w:tc>
          <w:tcPr>
            <w:tcW w:type="dxa" w:w="6263"/>
            <w:vAlign w:val="top"/>
            <w:tcMar>
              <w:top w:w="90" w:type="dxa"/>
              <w:start w:w="120" w:type="dxa"/>
              <w:bottom w:w="90" w:type="dxa"/>
              <w:end w:w="120" w:type="dxa"/>
            </w:tcMar>
          </w:tcPr>
          <w:p>
            <w:pPr>
              <w:spacing w:after="0"/>
            </w:pPr>
            <w:r/>
            <w:r>
              <w:rPr>
                <w:b w:val="0"/>
                <w:sz w:val="17"/>
              </w:rPr>
              <w:t>Central queue for reversals, deletions, discounts, procurement approvals, report releases, and sensitive bulk actions.</w:t>
            </w:r>
          </w:p>
        </w:tc>
        <w:tc>
          <w:tcPr>
            <w:tcW w:type="dxa" w:w="1224"/>
            <w:vAlign w:val="top"/>
            <w:tcMar>
              <w:top w:w="90" w:type="dxa"/>
              <w:start w:w="120" w:type="dxa"/>
              <w:bottom w:w="90" w:type="dxa"/>
              <w:end w:w="120" w:type="dxa"/>
            </w:tcMar>
          </w:tcPr>
          <w:p>
            <w:pPr>
              <w:spacing w:after="0"/>
            </w:pPr>
            <w:r/>
            <w:r>
              <w:rPr>
                <w:b w:val="0"/>
                <w:sz w:val="17"/>
              </w:rPr>
              <w:t>High</w:t>
            </w:r>
          </w:p>
        </w:tc>
      </w:tr>
      <w:tr>
        <w:tc>
          <w:tcPr>
            <w:tcW w:type="dxa" w:w="2520"/>
            <w:vAlign w:val="top"/>
            <w:tcMar>
              <w:top w:w="90" w:type="dxa"/>
              <w:start w:w="120" w:type="dxa"/>
              <w:bottom w:w="90" w:type="dxa"/>
              <w:end w:w="120" w:type="dxa"/>
            </w:tcMar>
          </w:tcPr>
          <w:p>
            <w:pPr>
              <w:spacing w:after="0"/>
            </w:pPr>
            <w:r/>
            <w:r>
              <w:rPr>
                <w:b w:val="0"/>
                <w:sz w:val="17"/>
              </w:rPr>
              <w:t>Audit Trail Explorer</w:t>
            </w:r>
          </w:p>
        </w:tc>
        <w:tc>
          <w:tcPr>
            <w:tcW w:type="dxa" w:w="6263"/>
            <w:vAlign w:val="top"/>
            <w:tcMar>
              <w:top w:w="90" w:type="dxa"/>
              <w:start w:w="120" w:type="dxa"/>
              <w:bottom w:w="90" w:type="dxa"/>
              <w:end w:w="120" w:type="dxa"/>
            </w:tcMar>
          </w:tcPr>
          <w:p>
            <w:pPr>
              <w:spacing w:after="0"/>
            </w:pPr>
            <w:r/>
            <w:r>
              <w:rPr>
                <w:b w:val="0"/>
                <w:sz w:val="17"/>
              </w:rPr>
              <w:t>Searchable activity log by user, pupil, family, module, date, and action type.</w:t>
            </w:r>
          </w:p>
        </w:tc>
        <w:tc>
          <w:tcPr>
            <w:tcW w:type="dxa" w:w="1224"/>
            <w:vAlign w:val="top"/>
            <w:tcMar>
              <w:top w:w="90" w:type="dxa"/>
              <w:start w:w="120" w:type="dxa"/>
              <w:bottom w:w="90" w:type="dxa"/>
              <w:end w:w="120" w:type="dxa"/>
            </w:tcMar>
          </w:tcPr>
          <w:p>
            <w:pPr>
              <w:spacing w:after="0"/>
            </w:pPr>
            <w:r/>
            <w:r>
              <w:rPr>
                <w:b w:val="0"/>
                <w:sz w:val="17"/>
              </w:rPr>
              <w:t>High</w:t>
            </w:r>
          </w:p>
        </w:tc>
      </w:tr>
      <w:tr>
        <w:tc>
          <w:tcPr>
            <w:tcW w:type="dxa" w:w="2520"/>
            <w:vAlign w:val="top"/>
            <w:tcMar>
              <w:top w:w="90" w:type="dxa"/>
              <w:start w:w="120" w:type="dxa"/>
              <w:bottom w:w="90" w:type="dxa"/>
              <w:end w:w="120" w:type="dxa"/>
            </w:tcMar>
          </w:tcPr>
          <w:p>
            <w:pPr>
              <w:spacing w:after="0"/>
            </w:pPr>
            <w:r/>
            <w:r>
              <w:rPr>
                <w:b w:val="0"/>
                <w:sz w:val="17"/>
              </w:rPr>
              <w:t>Student 360 Profile</w:t>
            </w:r>
          </w:p>
        </w:tc>
        <w:tc>
          <w:tcPr>
            <w:tcW w:type="dxa" w:w="6263"/>
            <w:vAlign w:val="top"/>
            <w:tcMar>
              <w:top w:w="90" w:type="dxa"/>
              <w:start w:w="120" w:type="dxa"/>
              <w:bottom w:w="90" w:type="dxa"/>
              <w:end w:w="120" w:type="dxa"/>
            </w:tcMar>
          </w:tcPr>
          <w:p>
            <w:pPr>
              <w:spacing w:after="0"/>
            </w:pPr>
            <w:r/>
            <w:r>
              <w:rPr>
                <w:b w:val="0"/>
                <w:sz w:val="17"/>
              </w:rPr>
              <w:t>One page that combines bio data, family, fees, attendance, results, requirements, uniforms, banking, discipline/notes, and documents.</w:t>
            </w:r>
          </w:p>
        </w:tc>
        <w:tc>
          <w:tcPr>
            <w:tcW w:type="dxa" w:w="1224"/>
            <w:vAlign w:val="top"/>
            <w:tcMar>
              <w:top w:w="90" w:type="dxa"/>
              <w:start w:w="120" w:type="dxa"/>
              <w:bottom w:w="90" w:type="dxa"/>
              <w:end w:w="120" w:type="dxa"/>
            </w:tcMar>
          </w:tcPr>
          <w:p>
            <w:pPr>
              <w:spacing w:after="0"/>
            </w:pPr>
            <w:r/>
            <w:r>
              <w:rPr>
                <w:b w:val="0"/>
                <w:sz w:val="17"/>
              </w:rPr>
              <w:t>High</w:t>
            </w:r>
          </w:p>
        </w:tc>
      </w:tr>
      <w:tr>
        <w:tc>
          <w:tcPr>
            <w:tcW w:type="dxa" w:w="2520"/>
            <w:vAlign w:val="top"/>
            <w:tcMar>
              <w:top w:w="90" w:type="dxa"/>
              <w:start w:w="120" w:type="dxa"/>
              <w:bottom w:w="90" w:type="dxa"/>
              <w:end w:w="120" w:type="dxa"/>
            </w:tcMar>
          </w:tcPr>
          <w:p>
            <w:pPr>
              <w:spacing w:after="0"/>
            </w:pPr>
            <w:r/>
            <w:r>
              <w:rPr>
                <w:b w:val="0"/>
                <w:sz w:val="17"/>
              </w:rPr>
              <w:t>Parent Action Center</w:t>
            </w:r>
          </w:p>
        </w:tc>
        <w:tc>
          <w:tcPr>
            <w:tcW w:type="dxa" w:w="6263"/>
            <w:vAlign w:val="top"/>
            <w:tcMar>
              <w:top w:w="90" w:type="dxa"/>
              <w:start w:w="120" w:type="dxa"/>
              <w:bottom w:w="90" w:type="dxa"/>
              <w:end w:w="120" w:type="dxa"/>
            </w:tcMar>
          </w:tcPr>
          <w:p>
            <w:pPr>
              <w:spacing w:after="0"/>
            </w:pPr>
            <w:r/>
            <w:r>
              <w:rPr>
                <w:b w:val="0"/>
                <w:sz w:val="17"/>
              </w:rPr>
              <w:t>Parent portal landing view with balances, payment history, requirements, attendance alerts, upcoming events, and released reports.</w:t>
            </w:r>
          </w:p>
        </w:tc>
        <w:tc>
          <w:tcPr>
            <w:tcW w:type="dxa" w:w="1224"/>
            <w:vAlign w:val="top"/>
            <w:tcMar>
              <w:top w:w="90" w:type="dxa"/>
              <w:start w:w="120" w:type="dxa"/>
              <w:bottom w:w="90" w:type="dxa"/>
              <w:end w:w="120" w:type="dxa"/>
            </w:tcMar>
          </w:tcPr>
          <w:p>
            <w:pPr>
              <w:spacing w:after="0"/>
            </w:pPr>
            <w:r/>
            <w:r>
              <w:rPr>
                <w:b w:val="0"/>
                <w:sz w:val="17"/>
              </w:rPr>
              <w:t>High</w:t>
            </w:r>
          </w:p>
        </w:tc>
      </w:tr>
      <w:tr>
        <w:tc>
          <w:tcPr>
            <w:tcW w:type="dxa" w:w="2520"/>
            <w:vAlign w:val="top"/>
            <w:tcMar>
              <w:top w:w="90" w:type="dxa"/>
              <w:start w:w="120" w:type="dxa"/>
              <w:bottom w:w="90" w:type="dxa"/>
              <w:end w:w="120" w:type="dxa"/>
            </w:tcMar>
          </w:tcPr>
          <w:p>
            <w:pPr>
              <w:spacing w:after="0"/>
            </w:pPr>
            <w:r/>
            <w:r>
              <w:rPr>
                <w:b w:val="0"/>
                <w:sz w:val="17"/>
              </w:rPr>
              <w:t>Attendance Risk Monitor</w:t>
            </w:r>
          </w:p>
        </w:tc>
        <w:tc>
          <w:tcPr>
            <w:tcW w:type="dxa" w:w="6263"/>
            <w:vAlign w:val="top"/>
            <w:tcMar>
              <w:top w:w="90" w:type="dxa"/>
              <w:start w:w="120" w:type="dxa"/>
              <w:bottom w:w="90" w:type="dxa"/>
              <w:end w:w="120" w:type="dxa"/>
            </w:tcMar>
          </w:tcPr>
          <w:p>
            <w:pPr>
              <w:spacing w:after="0"/>
            </w:pPr>
            <w:r/>
            <w:r>
              <w:rPr>
                <w:b w:val="0"/>
                <w:sz w:val="17"/>
              </w:rPr>
              <w:t>Flags pupils with repeated absence/late patterns and lets staff follow up with parents.</w:t>
            </w:r>
          </w:p>
        </w:tc>
        <w:tc>
          <w:tcPr>
            <w:tcW w:type="dxa" w:w="1224"/>
            <w:vAlign w:val="top"/>
            <w:tcMar>
              <w:top w:w="90" w:type="dxa"/>
              <w:start w:w="120" w:type="dxa"/>
              <w:bottom w:w="90" w:type="dxa"/>
              <w:end w:w="120" w:type="dxa"/>
            </w:tcMar>
          </w:tcPr>
          <w:p>
            <w:pPr>
              <w:spacing w:after="0"/>
            </w:pPr>
            <w:r/>
            <w:r>
              <w:rPr>
                <w:b w:val="0"/>
                <w:sz w:val="17"/>
              </w:rPr>
              <w:t>Medium</w:t>
            </w:r>
          </w:p>
        </w:tc>
      </w:tr>
      <w:tr>
        <w:tc>
          <w:tcPr>
            <w:tcW w:type="dxa" w:w="2520"/>
            <w:vAlign w:val="top"/>
            <w:tcMar>
              <w:top w:w="90" w:type="dxa"/>
              <w:start w:w="120" w:type="dxa"/>
              <w:bottom w:w="90" w:type="dxa"/>
              <w:end w:w="120" w:type="dxa"/>
            </w:tcMar>
          </w:tcPr>
          <w:p>
            <w:pPr>
              <w:spacing w:after="0"/>
            </w:pPr>
            <w:r/>
            <w:r>
              <w:rPr>
                <w:b w:val="0"/>
                <w:sz w:val="17"/>
              </w:rPr>
              <w:t>Inventory Reorder Dashboard</w:t>
            </w:r>
          </w:p>
        </w:tc>
        <w:tc>
          <w:tcPr>
            <w:tcW w:type="dxa" w:w="6263"/>
            <w:vAlign w:val="top"/>
            <w:tcMar>
              <w:top w:w="90" w:type="dxa"/>
              <w:start w:w="120" w:type="dxa"/>
              <w:bottom w:w="90" w:type="dxa"/>
              <w:end w:w="120" w:type="dxa"/>
            </w:tcMar>
          </w:tcPr>
          <w:p>
            <w:pPr>
              <w:spacing w:after="0"/>
            </w:pPr>
            <w:r/>
            <w:r>
              <w:rPr>
                <w:b w:val="0"/>
                <w:sz w:val="17"/>
              </w:rPr>
              <w:t>Shows low stock, stock movement, uniform stock, pending procurement, and item issue/return history.</w:t>
            </w:r>
          </w:p>
        </w:tc>
        <w:tc>
          <w:tcPr>
            <w:tcW w:type="dxa" w:w="1224"/>
            <w:vAlign w:val="top"/>
            <w:tcMar>
              <w:top w:w="90" w:type="dxa"/>
              <w:start w:w="120" w:type="dxa"/>
              <w:bottom w:w="90" w:type="dxa"/>
              <w:end w:w="120" w:type="dxa"/>
            </w:tcMar>
          </w:tcPr>
          <w:p>
            <w:pPr>
              <w:spacing w:after="0"/>
            </w:pPr>
            <w:r/>
            <w:r>
              <w:rPr>
                <w:b w:val="0"/>
                <w:sz w:val="17"/>
              </w:rPr>
              <w:t>Medium</w:t>
            </w:r>
          </w:p>
        </w:tc>
      </w:tr>
      <w:tr>
        <w:tc>
          <w:tcPr>
            <w:tcW w:type="dxa" w:w="2520"/>
            <w:vAlign w:val="top"/>
            <w:tcMar>
              <w:top w:w="90" w:type="dxa"/>
              <w:start w:w="120" w:type="dxa"/>
              <w:bottom w:w="90" w:type="dxa"/>
              <w:end w:w="120" w:type="dxa"/>
            </w:tcMar>
          </w:tcPr>
          <w:p>
            <w:pPr>
              <w:spacing w:after="0"/>
            </w:pPr>
            <w:r/>
            <w:r>
              <w:rPr>
                <w:b w:val="0"/>
                <w:sz w:val="17"/>
              </w:rPr>
              <w:t>Report Release Workflow</w:t>
            </w:r>
          </w:p>
        </w:tc>
        <w:tc>
          <w:tcPr>
            <w:tcW w:type="dxa" w:w="6263"/>
            <w:vAlign w:val="top"/>
            <w:tcMar>
              <w:top w:w="90" w:type="dxa"/>
              <w:start w:w="120" w:type="dxa"/>
              <w:bottom w:w="90" w:type="dxa"/>
              <w:end w:w="120" w:type="dxa"/>
            </w:tcMar>
          </w:tcPr>
          <w:p>
            <w:pPr>
              <w:spacing w:after="0"/>
            </w:pPr>
            <w:r/>
            <w:r>
              <w:rPr>
                <w:b w:val="0"/>
                <w:sz w:val="17"/>
              </w:rPr>
              <w:t>Draft/review/approve/release flow for exam reports with parent notifications.</w:t>
            </w:r>
          </w:p>
        </w:tc>
        <w:tc>
          <w:tcPr>
            <w:tcW w:type="dxa" w:w="1224"/>
            <w:vAlign w:val="top"/>
            <w:tcMar>
              <w:top w:w="90" w:type="dxa"/>
              <w:start w:w="120" w:type="dxa"/>
              <w:bottom w:w="90" w:type="dxa"/>
              <w:end w:w="120" w:type="dxa"/>
            </w:tcMar>
          </w:tcPr>
          <w:p>
            <w:pPr>
              <w:spacing w:after="0"/>
            </w:pPr>
            <w:r/>
            <w:r>
              <w:rPr>
                <w:b w:val="0"/>
                <w:sz w:val="17"/>
              </w:rPr>
              <w:t>Medium</w:t>
            </w:r>
          </w:p>
        </w:tc>
      </w:tr>
      <w:tr>
        <w:tc>
          <w:tcPr>
            <w:tcW w:type="dxa" w:w="2520"/>
            <w:vAlign w:val="top"/>
            <w:tcMar>
              <w:top w:w="90" w:type="dxa"/>
              <w:start w:w="120" w:type="dxa"/>
              <w:bottom w:w="90" w:type="dxa"/>
              <w:end w:w="120" w:type="dxa"/>
            </w:tcMar>
          </w:tcPr>
          <w:p>
            <w:pPr>
              <w:spacing w:after="0"/>
            </w:pPr>
            <w:r/>
            <w:r>
              <w:rPr>
                <w:b w:val="0"/>
                <w:sz w:val="17"/>
              </w:rPr>
              <w:t>Data Quality Dashboard</w:t>
            </w:r>
          </w:p>
        </w:tc>
        <w:tc>
          <w:tcPr>
            <w:tcW w:type="dxa" w:w="6263"/>
            <w:vAlign w:val="top"/>
            <w:tcMar>
              <w:top w:w="90" w:type="dxa"/>
              <w:start w:w="120" w:type="dxa"/>
              <w:bottom w:w="90" w:type="dxa"/>
              <w:end w:w="120" w:type="dxa"/>
            </w:tcMar>
          </w:tcPr>
          <w:p>
            <w:pPr>
              <w:spacing w:after="0"/>
            </w:pPr>
            <w:r/>
            <w:r>
              <w:rPr>
                <w:b w:val="0"/>
                <w:sz w:val="17"/>
              </w:rPr>
              <w:t>Finds duplicate pupils, missing family links, invalid class references, missing pay codes, orphaned photos, duplicate requirement tracking, and broken snapshots.</w:t>
            </w:r>
          </w:p>
        </w:tc>
        <w:tc>
          <w:tcPr>
            <w:tcW w:type="dxa" w:w="1224"/>
            <w:vAlign w:val="top"/>
            <w:tcMar>
              <w:top w:w="90" w:type="dxa"/>
              <w:start w:w="120" w:type="dxa"/>
              <w:bottom w:w="90" w:type="dxa"/>
              <w:end w:w="120" w:type="dxa"/>
            </w:tcMar>
          </w:tcPr>
          <w:p>
            <w:pPr>
              <w:spacing w:after="0"/>
            </w:pPr>
            <w:r/>
            <w:r>
              <w:rPr>
                <w:b w:val="0"/>
                <w:sz w:val="17"/>
              </w:rPr>
              <w:t>High</w:t>
            </w:r>
          </w:p>
        </w:tc>
      </w:tr>
      <w:tr>
        <w:tc>
          <w:tcPr>
            <w:tcW w:type="dxa" w:w="2520"/>
            <w:vAlign w:val="top"/>
            <w:tcMar>
              <w:top w:w="90" w:type="dxa"/>
              <w:start w:w="120" w:type="dxa"/>
              <w:bottom w:w="90" w:type="dxa"/>
              <w:end w:w="120" w:type="dxa"/>
            </w:tcMar>
          </w:tcPr>
          <w:p>
            <w:pPr>
              <w:spacing w:after="0"/>
            </w:pPr>
            <w:r/>
            <w:r>
              <w:rPr>
                <w:b w:val="0"/>
                <w:sz w:val="17"/>
              </w:rPr>
              <w:t>Backup and Restore Console</w:t>
            </w:r>
          </w:p>
        </w:tc>
        <w:tc>
          <w:tcPr>
            <w:tcW w:type="dxa" w:w="6263"/>
            <w:vAlign w:val="top"/>
            <w:tcMar>
              <w:top w:w="90" w:type="dxa"/>
              <w:start w:w="120" w:type="dxa"/>
              <w:bottom w:w="90" w:type="dxa"/>
              <w:end w:w="120" w:type="dxa"/>
            </w:tcMar>
          </w:tcPr>
          <w:p>
            <w:pPr>
              <w:spacing w:after="0"/>
            </w:pPr>
            <w:r/>
            <w:r>
              <w:rPr>
                <w:b w:val="0"/>
                <w:sz w:val="17"/>
              </w:rPr>
              <w:t>Controlled backups, export snapshots, restore preview, and disaster recovery checklist.</w:t>
            </w:r>
          </w:p>
        </w:tc>
        <w:tc>
          <w:tcPr>
            <w:tcW w:type="dxa" w:w="1224"/>
            <w:vAlign w:val="top"/>
            <w:tcMar>
              <w:top w:w="90" w:type="dxa"/>
              <w:start w:w="120" w:type="dxa"/>
              <w:bottom w:w="90" w:type="dxa"/>
              <w:end w:w="120" w:type="dxa"/>
            </w:tcMar>
          </w:tcPr>
          <w:p>
            <w:pPr>
              <w:spacing w:after="0"/>
            </w:pPr>
            <w:r/>
            <w:r>
              <w:rPr>
                <w:b w:val="0"/>
                <w:sz w:val="17"/>
              </w:rPr>
              <w:t>Medium</w:t>
            </w:r>
          </w:p>
        </w:tc>
      </w:tr>
      <w:tr>
        <w:tc>
          <w:tcPr>
            <w:tcW w:type="dxa" w:w="2520"/>
            <w:vAlign w:val="top"/>
            <w:tcMar>
              <w:top w:w="90" w:type="dxa"/>
              <w:start w:w="120" w:type="dxa"/>
              <w:bottom w:w="90" w:type="dxa"/>
              <w:end w:w="120" w:type="dxa"/>
            </w:tcMar>
          </w:tcPr>
          <w:p>
            <w:pPr>
              <w:spacing w:after="0"/>
            </w:pPr>
            <w:r/>
            <w:r>
              <w:rPr>
                <w:b w:val="0"/>
                <w:sz w:val="17"/>
              </w:rPr>
              <w:t>School Calendar Operations Board</w:t>
            </w:r>
          </w:p>
        </w:tc>
        <w:tc>
          <w:tcPr>
            <w:tcW w:type="dxa" w:w="6263"/>
            <w:vAlign w:val="top"/>
            <w:tcMar>
              <w:top w:w="90" w:type="dxa"/>
              <w:start w:w="120" w:type="dxa"/>
              <w:bottom w:w="90" w:type="dxa"/>
              <w:end w:w="120" w:type="dxa"/>
            </w:tcMar>
          </w:tcPr>
          <w:p>
            <w:pPr>
              <w:spacing w:after="0"/>
            </w:pPr>
            <w:r/>
            <w:r>
              <w:rPr>
                <w:b w:val="0"/>
                <w:sz w:val="17"/>
              </w:rPr>
              <w:t>Combines events, terms, exams, holidays, attendance closures, and SMS reminders.</w:t>
            </w:r>
          </w:p>
        </w:tc>
        <w:tc>
          <w:tcPr>
            <w:tcW w:type="dxa" w:w="1224"/>
            <w:vAlign w:val="top"/>
            <w:tcMar>
              <w:top w:w="90" w:type="dxa"/>
              <w:start w:w="120" w:type="dxa"/>
              <w:bottom w:w="90" w:type="dxa"/>
              <w:end w:w="120" w:type="dxa"/>
            </w:tcMar>
          </w:tcPr>
          <w:p>
            <w:pPr>
              <w:spacing w:after="0"/>
            </w:pPr>
            <w:r/>
            <w:r>
              <w:rPr>
                <w:b w:val="0"/>
                <w:sz w:val="17"/>
              </w:rPr>
              <w:t>Medium</w:t>
            </w:r>
          </w:p>
        </w:tc>
      </w:tr>
    </w:tbl>
    <w:p>
      <w:pPr>
        <w:pStyle w:val="Heading1"/>
      </w:pPr>
      <w:r>
        <w:t>Suggested Implementation Order</w:t>
      </w:r>
    </w:p>
    <w:p>
      <w:pPr>
        <w:pStyle w:val="ListNumber"/>
        <w:spacing w:after="60"/>
      </w:pPr>
      <w:r>
        <w:t>Stabilize the codebase: fix typecheck failures, Next route signatures, duplicate function implementations, and non-module pages.</w:t>
      </w:r>
    </w:p>
    <w:p>
      <w:pPr>
        <w:pStyle w:val="ListNumber"/>
        <w:spacing w:after="60"/>
      </w:pPr>
      <w:r>
        <w:t>Create shared finance calculation contracts for fees, family, carry-forward, uniform fee integration, and parent display.</w:t>
      </w:r>
    </w:p>
    <w:p>
      <w:pPr>
        <w:pStyle w:val="ListNumber"/>
        <w:spacing w:after="60"/>
      </w:pPr>
      <w:r>
        <w:t>Add reconciliation dashboards before adding more payment entry points.</w:t>
      </w:r>
    </w:p>
    <w:p>
      <w:pPr>
        <w:pStyle w:val="ListNumber"/>
        <w:spacing w:after="60"/>
      </w:pPr>
      <w:r>
        <w:t>Lock down debug/test/admin maintenance pages behind permissions and environment checks.</w:t>
      </w:r>
    </w:p>
    <w:p>
      <w:pPr>
        <w:pStyle w:val="ListNumber"/>
        <w:spacing w:after="60"/>
      </w:pPr>
      <w:r>
        <w:t>Replace alert/window.confirm flows with reusable confirmation dialogs and reason-capture forms.</w:t>
      </w:r>
    </w:p>
    <w:p>
      <w:pPr>
        <w:pStyle w:val="ListNumber"/>
        <w:spacing w:after="60"/>
      </w:pPr>
      <w:r>
        <w:t>Build Finance Control Center, Balance Reconciliation Wizard, and Daily Cashier Closing first.</w:t>
      </w:r>
    </w:p>
    <w:p>
      <w:pPr>
        <w:pStyle w:val="ListNumber"/>
        <w:spacing w:after="60"/>
      </w:pPr>
      <w:r>
        <w:t>Then build Attendance Risk Monitor, Parent Action Center, Inventory Reorder Dashboard, and Report Release Workflow.</w:t>
      </w:r>
    </w:p>
    <w:p>
      <w:pPr>
        <w:pStyle w:val="Heading1"/>
      </w:pPr>
      <w:r>
        <w:t>Immediate Action Checklist</w:t>
      </w:r>
    </w:p>
    <w:p>
      <w:pPr>
        <w:pStyle w:val="ListBullet"/>
        <w:spacing w:after="60"/>
        <w:ind w:left="360" w:hanging="216"/>
      </w:pPr>
      <w:r>
        <w:t>Fix npm run typecheck until it passes locally and in deployment.</w:t>
      </w:r>
    </w:p>
    <w:p>
      <w:pPr>
        <w:pStyle w:val="ListBullet"/>
        <w:spacing w:after="60"/>
        <w:ind w:left="360" w:hanging="216"/>
      </w:pPr>
      <w:r>
        <w:t>Audit all pages under admin, debug, dev-tools, test, cleanup, migrate, and fix routes.</w:t>
      </w:r>
    </w:p>
    <w:p>
      <w:pPr>
        <w:pStyle w:val="ListBullet"/>
        <w:spacing w:after="60"/>
        <w:ind w:left="360" w:hanging="216"/>
      </w:pPr>
      <w:r>
        <w:t>Remove or archive backup/broken/alternate pages from src/app.</w:t>
      </w:r>
    </w:p>
    <w:p>
      <w:pPr>
        <w:pStyle w:val="ListBullet"/>
        <w:spacing w:after="60"/>
        <w:ind w:left="360" w:hanging="216"/>
      </w:pPr>
      <w:r>
        <w:t>Replace placeholder actor names like Current User with authenticated user metadata.</w:t>
      </w:r>
    </w:p>
    <w:p>
      <w:pPr>
        <w:pStyle w:val="ListBullet"/>
        <w:spacing w:after="60"/>
        <w:ind w:left="360" w:hanging="216"/>
      </w:pPr>
      <w:r>
        <w:t>Create one shared balance calculation output for pupil and family fees.</w:t>
      </w:r>
    </w:p>
    <w:p>
      <w:pPr>
        <w:pStyle w:val="ListBullet"/>
        <w:spacing w:after="60"/>
        <w:ind w:left="360" w:hanging="216"/>
      </w:pPr>
      <w:r>
        <w:t>Add payment/reversal reason capture and approval for sensitive actions.</w:t>
      </w:r>
    </w:p>
    <w:p>
      <w:pPr>
        <w:pStyle w:val="ListBullet"/>
        <w:spacing w:after="60"/>
        <w:ind w:left="360" w:hanging="216"/>
      </w:pPr>
      <w:r>
        <w:t>Add discrepancy reports for money, duplicate data, orphaned records, and missing family links.</w:t>
      </w:r>
    </w:p>
    <w:p>
      <w:pPr>
        <w:pStyle w:val="ListBullet"/>
        <w:spacing w:after="60"/>
        <w:ind w:left="360" w:hanging="216"/>
      </w:pPr>
      <w:r>
        <w:t>Document Firestore collections and ownership: which module writes, reads, and reconciles each collection.</w:t>
      </w:r>
    </w:p>
    <w:tbl>
      <w:tblPr>
        <w:tblW w:type="auto" w:w="0"/>
        <w:jc w:val="center"/>
        <w:tblLook w:firstColumn="1" w:firstRow="1" w:lastColumn="0" w:lastRow="0" w:noHBand="0" w:noVBand="1" w:val="04A0"/>
        <w:tblBorders>
          <w:top w:val="single" w:sz="6" w:space="0" w:color="BBF7D0"/>
          <w:left w:val="single" w:sz="6" w:space="0" w:color="BBF7D0"/>
          <w:bottom w:val="single" w:sz="6" w:space="0" w:color="BBF7D0"/>
          <w:right w:val="single" w:sz="6" w:space="0" w:color="BBF7D0"/>
          <w:insideH w:val="single" w:sz="6" w:space="0" w:color="BBF7D0"/>
          <w:insideV w:val="single" w:sz="6" w:space="0" w:color="BBF7D0"/>
        </w:tblBorders>
      </w:tblPr>
      <w:tblGrid>
        <w:gridCol w:w="9936"/>
      </w:tblGrid>
      <w:tr>
        <w:tc>
          <w:tcPr>
            <w:tcW w:type="dxa" w:w="9936"/>
            <w:shd w:fill="F0FDF4"/>
            <w:tcMar>
              <w:top w:w="140" w:type="dxa"/>
              <w:start w:w="160" w:type="dxa"/>
              <w:bottom w:w="140" w:type="dxa"/>
              <w:end w:w="160" w:type="dxa"/>
            </w:tcMar>
          </w:tcPr>
          <w:p>
            <w:pPr>
              <w:spacing w:after="40"/>
            </w:pPr>
            <w:r/>
            <w:r>
              <w:rPr>
                <w:b/>
                <w:color w:val="1E3A8A"/>
                <w:sz w:val="21"/>
              </w:rPr>
              <w:t>Final recommendation</w:t>
            </w:r>
          </w:p>
          <w:p>
            <w:pPr>
              <w:spacing w:after="0"/>
            </w:pPr>
            <w:r>
              <w:rPr>
                <w:color w:val="334155"/>
                <w:sz w:val="19"/>
              </w:rPr>
              <w:t>The highest-value next move is a stability-and-reconciliation phase: make typecheck pass, standardize money calculations, lock sensitive tools, and add dashboards that catch problems early. After that foundation is steady, the new components will make the system feel much more professional and easier to run every day.</w:t>
            </w:r>
          </w:p>
        </w:tc>
      </w:tr>
    </w:tbl>
    <w:p/>
    <w:p>
      <w:pPr>
        <w:pStyle w:val="Heading1"/>
      </w:pPr>
      <w:r>
        <w:rPr>
          <w:color w:val="1F4E79"/>
        </w:rPr>
        <w:t>Implementation Update - 05 June 2026</w:t>
      </w:r>
    </w:p>
    <w:p>
      <w:r>
        <w:rPr>
          <w:b/>
        </w:rPr>
        <w:t xml:space="preserve">Status: </w:t>
      </w:r>
      <w:r>
        <w:t>The first finance and production-safety improvement pass has now been implemented. The work focuses on reducing disagreement between money screens, making successful payments refresh everywhere, and removing risky legacy surfaces from active production routing.</w:t>
      </w:r>
    </w:p>
    <w:p>
      <w:pPr>
        <w:pStyle w:val="Heading2"/>
      </w:pPr>
      <w:r>
        <w:rPr>
          <w:color w:val="2F75B5"/>
        </w:rPr>
        <w:t>Completed in this Pass</w:t>
      </w:r>
    </w:p>
    <w:p>
      <w:pPr>
        <w:pStyle w:val="ListBullet"/>
      </w:pPr>
      <w:r>
        <w:rPr>
          <w:b/>
        </w:rPr>
        <w:t xml:space="preserve">Canonical finance calculation service: </w:t>
      </w:r>
      <w:r>
        <w:t>Added a shared finance summary service for pupil and family balances. It gathers payments, fee structures, carry-forward balances, uniforms, requirements, banking transactions, loans, reversals, source records, and warnings into one canonical object.</w:t>
      </w:r>
    </w:p>
    <w:p>
      <w:pPr>
        <w:pStyle w:val="ListBullet"/>
      </w:pPr>
      <w:r>
        <w:rPr>
          <w:b/>
        </w:rPr>
        <w:t xml:space="preserve">Shared finance hooks and cache keys: </w:t>
      </w:r>
      <w:r>
        <w:t>Added hooks for pupil and family finance summaries plus a shared invalidation helper. Money-changing screens can now tell every finance display to refresh from the same source.</w:t>
      </w:r>
    </w:p>
    <w:p>
      <w:pPr>
        <w:pStyle w:val="ListBullet"/>
      </w:pPr>
      <w:r>
        <w:rPr>
          <w:b/>
        </w:rPr>
        <w:t xml:space="preserve">Payment refresh coverage: </w:t>
      </w:r>
      <w:r>
        <w:t>Wired shared finance invalidation into school fee payments, multi-fee payments, family payments, carry-forward refreshes, uniform payments/tracking, requirement tracking, banking transactions, loans, reversals, and overdue-loan processing.</w:t>
      </w:r>
    </w:p>
    <w:p>
      <w:pPr>
        <w:pStyle w:val="ListBullet"/>
      </w:pPr>
      <w:r>
        <w:rPr>
          <w:b/>
        </w:rPr>
        <w:t xml:space="preserve">Production debug route guard: </w:t>
      </w:r>
      <w:r>
        <w:t>Added middleware that hides debug, test, cleanup, migration, and maintenance routes in production unless maintenance routes are explicitly enabled through an environment flag.</w:t>
      </w:r>
    </w:p>
    <w:p>
      <w:pPr>
        <w:pStyle w:val="ListBullet"/>
      </w:pPr>
      <w:r>
        <w:rPr>
          <w:b/>
        </w:rPr>
        <w:t xml:space="preserve">Legacy route archive: </w:t>
      </w:r>
      <w:r>
        <w:t>Moved obvious backup and alternate route files out of src/app and into archive/legacy-routes/2026-06-05 so they cannot accidentally remain active in application routing.</w:t>
      </w:r>
    </w:p>
    <w:p>
      <w:pPr>
        <w:pStyle w:val="Heading2"/>
      </w:pPr>
      <w:r>
        <w:rPr>
          <w:color w:val="2F75B5"/>
        </w:rPr>
        <w:t>Main Files Changed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rial" w:hAnsi="Arial"/>
                <w:b/>
              </w:rPr>
              <w:t>File or Area</w:t>
            </w:r>
          </w:p>
        </w:tc>
        <w:tc>
          <w:tcPr>
            <w:tcW w:type="dxa" w:w="4968"/>
            <w:vAlign w:val="center"/>
          </w:tcPr>
          <w:p>
            <w:r>
              <w:rPr>
                <w:rFonts w:ascii="Arial" w:hAnsi="Arial"/>
                <w:b/>
              </w:rPr>
              <w:t>Purpose</w:t>
            </w:r>
          </w:p>
        </w:tc>
      </w:tr>
      <w:tr>
        <w:tc>
          <w:tcPr>
            <w:tcW w:type="dxa" w:w="4968"/>
            <w:vAlign w:val="center"/>
          </w:tcPr>
          <w:p>
            <w:r>
              <w:rPr>
                <w:rFonts w:ascii="Arial" w:hAnsi="Arial"/>
                <w:sz w:val="18"/>
              </w:rPr>
              <w:t>src/lib/services/finance-calculation.service.ts</w:t>
            </w:r>
          </w:p>
        </w:tc>
        <w:tc>
          <w:tcPr>
            <w:tcW w:type="dxa" w:w="4968"/>
            <w:vAlign w:val="center"/>
          </w:tcPr>
          <w:p>
            <w:r>
              <w:rPr>
                <w:rFonts w:ascii="Arial" w:hAnsi="Arial"/>
                <w:sz w:val="18"/>
              </w:rPr>
              <w:t>New canonical finance summary service for pupil and family money data.</w:t>
            </w:r>
          </w:p>
        </w:tc>
      </w:tr>
      <w:tr>
        <w:tc>
          <w:tcPr>
            <w:tcW w:type="dxa" w:w="4968"/>
            <w:vAlign w:val="center"/>
          </w:tcPr>
          <w:p>
            <w:r>
              <w:rPr>
                <w:rFonts w:ascii="Arial" w:hAnsi="Arial"/>
                <w:sz w:val="18"/>
              </w:rPr>
              <w:t>src/lib/hooks/use-finance-summary.ts</w:t>
            </w:r>
          </w:p>
        </w:tc>
        <w:tc>
          <w:tcPr>
            <w:tcW w:type="dxa" w:w="4968"/>
            <w:vAlign w:val="center"/>
          </w:tcPr>
          <w:p>
            <w:r>
              <w:rPr>
                <w:rFonts w:ascii="Arial" w:hAnsi="Arial"/>
                <w:sz w:val="18"/>
              </w:rPr>
              <w:t>New React Query hooks, keys, and invalidation helper for shared finance summaries.</w:t>
            </w:r>
          </w:p>
        </w:tc>
      </w:tr>
      <w:tr>
        <w:tc>
          <w:tcPr>
            <w:tcW w:type="dxa" w:w="4968"/>
            <w:vAlign w:val="center"/>
          </w:tcPr>
          <w:p>
            <w:r>
              <w:rPr>
                <w:rFonts w:ascii="Arial" w:hAnsi="Arial"/>
                <w:sz w:val="18"/>
              </w:rPr>
              <w:t>src/lib/hooks/use-payments.ts</w:t>
            </w:r>
          </w:p>
        </w:tc>
        <w:tc>
          <w:tcPr>
            <w:tcW w:type="dxa" w:w="4968"/>
            <w:vAlign w:val="center"/>
          </w:tcPr>
          <w:p>
            <w:r>
              <w:rPr>
                <w:rFonts w:ascii="Arial" w:hAnsi="Arial"/>
                <w:sz w:val="18"/>
              </w:rPr>
              <w:t>Payment creation and reversal now invalidate finance summaries.</w:t>
            </w:r>
          </w:p>
        </w:tc>
      </w:tr>
      <w:tr>
        <w:tc>
          <w:tcPr>
            <w:tcW w:type="dxa" w:w="4968"/>
            <w:vAlign w:val="center"/>
          </w:tcPr>
          <w:p>
            <w:r>
              <w:rPr>
                <w:rFonts w:ascii="Arial" w:hAnsi="Arial"/>
                <w:sz w:val="18"/>
              </w:rPr>
              <w:t>src/lib/hooks/use-uniform-fees-integration.ts</w:t>
            </w:r>
          </w:p>
        </w:tc>
        <w:tc>
          <w:tcPr>
            <w:tcW w:type="dxa" w:w="4968"/>
            <w:vAlign w:val="center"/>
          </w:tcPr>
          <w:p>
            <w:r>
              <w:rPr>
                <w:rFonts w:ascii="Arial" w:hAnsi="Arial"/>
                <w:sz w:val="18"/>
              </w:rPr>
              <w:t>Uniform payments now invalidate finance summaries.</w:t>
            </w:r>
          </w:p>
        </w:tc>
      </w:tr>
      <w:tr>
        <w:tc>
          <w:tcPr>
            <w:tcW w:type="dxa" w:w="4968"/>
            <w:vAlign w:val="center"/>
          </w:tcPr>
          <w:p>
            <w:r>
              <w:rPr>
                <w:rFonts w:ascii="Arial" w:hAnsi="Arial"/>
                <w:sz w:val="18"/>
              </w:rPr>
              <w:t>src/lib/hooks/use-requirement-tracking.ts</w:t>
            </w:r>
          </w:p>
        </w:tc>
        <w:tc>
          <w:tcPr>
            <w:tcW w:type="dxa" w:w="4968"/>
            <w:vAlign w:val="center"/>
          </w:tcPr>
          <w:p>
            <w:r>
              <w:rPr>
                <w:rFonts w:ascii="Arial" w:hAnsi="Arial"/>
                <w:sz w:val="18"/>
              </w:rPr>
              <w:t>Requirement payment/tracking changes now invalidate finance summaries.</w:t>
            </w:r>
          </w:p>
        </w:tc>
      </w:tr>
      <w:tr>
        <w:tc>
          <w:tcPr>
            <w:tcW w:type="dxa" w:w="4968"/>
            <w:vAlign w:val="center"/>
          </w:tcPr>
          <w:p>
            <w:r>
              <w:rPr>
                <w:rFonts w:ascii="Arial" w:hAnsi="Arial"/>
                <w:sz w:val="18"/>
              </w:rPr>
              <w:t>src/lib/hooks/use-banking.ts</w:t>
            </w:r>
          </w:p>
        </w:tc>
        <w:tc>
          <w:tcPr>
            <w:tcW w:type="dxa" w:w="4968"/>
            <w:vAlign w:val="center"/>
          </w:tcPr>
          <w:p>
            <w:r>
              <w:rPr>
                <w:rFonts w:ascii="Arial" w:hAnsi="Arial"/>
                <w:sz w:val="18"/>
              </w:rPr>
              <w:t>Banking account, loan, transaction, reversal, and processing actions now invalidate finance summaries.</w:t>
            </w:r>
          </w:p>
        </w:tc>
      </w:tr>
      <w:tr>
        <w:tc>
          <w:tcPr>
            <w:tcW w:type="dxa" w:w="4968"/>
            <w:vAlign w:val="center"/>
          </w:tcPr>
          <w:p>
            <w:r>
              <w:rPr>
                <w:rFonts w:ascii="Arial" w:hAnsi="Arial"/>
                <w:sz w:val="18"/>
              </w:rPr>
              <w:t>src/app/fees/collect/[id]/PupilFeesCollectionClient.tsx</w:t>
            </w:r>
          </w:p>
        </w:tc>
        <w:tc>
          <w:tcPr>
            <w:tcW w:type="dxa" w:w="4968"/>
            <w:vAlign w:val="center"/>
          </w:tcPr>
          <w:p>
            <w:r>
              <w:rPr>
                <w:rFonts w:ascii="Arial" w:hAnsi="Arial"/>
                <w:sz w:val="18"/>
              </w:rPr>
              <w:t>Fee collection payment paths now refresh finance summaries after successful changes.</w:t>
            </w:r>
          </w:p>
        </w:tc>
      </w:tr>
      <w:tr>
        <w:tc>
          <w:tcPr>
            <w:tcW w:type="dxa" w:w="4968"/>
            <w:vAlign w:val="center"/>
          </w:tcPr>
          <w:p>
            <w:r>
              <w:rPr>
                <w:rFonts w:ascii="Arial" w:hAnsi="Arial"/>
                <w:sz w:val="18"/>
              </w:rPr>
              <w:t>src/app/fees/family/[...slug]/page.tsx</w:t>
            </w:r>
          </w:p>
        </w:tc>
        <w:tc>
          <w:tcPr>
            <w:tcW w:type="dxa" w:w="4968"/>
            <w:vAlign w:val="center"/>
          </w:tcPr>
          <w:p>
            <w:r>
              <w:rPr>
                <w:rFonts w:ascii="Arial" w:hAnsi="Arial"/>
                <w:sz w:val="18"/>
              </w:rPr>
              <w:t>Family payment completion now refreshes family and pupil finance summaries.</w:t>
            </w:r>
          </w:p>
        </w:tc>
      </w:tr>
      <w:tr>
        <w:tc>
          <w:tcPr>
            <w:tcW w:type="dxa" w:w="4968"/>
            <w:vAlign w:val="center"/>
          </w:tcPr>
          <w:p>
            <w:r>
              <w:rPr>
                <w:rFonts w:ascii="Arial" w:hAnsi="Arial"/>
                <w:sz w:val="18"/>
              </w:rPr>
              <w:t>middleware.ts</w:t>
            </w:r>
          </w:p>
        </w:tc>
        <w:tc>
          <w:tcPr>
            <w:tcW w:type="dxa" w:w="4968"/>
            <w:vAlign w:val="center"/>
          </w:tcPr>
          <w:p>
            <w:r>
              <w:rPr>
                <w:rFonts w:ascii="Arial" w:hAnsi="Arial"/>
                <w:sz w:val="18"/>
              </w:rPr>
              <w:t>Production guard for debug, test, maintenance, cleanup, migration, and fix routes.</w:t>
            </w:r>
          </w:p>
        </w:tc>
      </w:tr>
      <w:tr>
        <w:tc>
          <w:tcPr>
            <w:tcW w:type="dxa" w:w="4968"/>
            <w:vAlign w:val="center"/>
          </w:tcPr>
          <w:p>
            <w:r>
              <w:rPr>
                <w:rFonts w:ascii="Arial" w:hAnsi="Arial"/>
                <w:sz w:val="18"/>
              </w:rPr>
              <w:t>archive/legacy-routes/2026-06-05</w:t>
            </w:r>
          </w:p>
        </w:tc>
        <w:tc>
          <w:tcPr>
            <w:tcW w:type="dxa" w:w="4968"/>
            <w:vAlign w:val="center"/>
          </w:tcPr>
          <w:p>
            <w:r>
              <w:rPr>
                <w:rFonts w:ascii="Arial" w:hAnsi="Arial"/>
                <w:sz w:val="18"/>
              </w:rPr>
              <w:t>Archive location for backup, broken, and alternate route files moved out of src/app.</w:t>
            </w:r>
          </w:p>
        </w:tc>
      </w:tr>
    </w:tbl>
    <w:p>
      <w:pPr>
        <w:pStyle w:val="Heading2"/>
      </w:pPr>
      <w:r>
        <w:rPr>
          <w:color w:val="2F75B5"/>
        </w:rPr>
        <w:t>What We Need To Do Next</w:t>
      </w:r>
    </w:p>
    <w:p>
      <w:pPr>
        <w:pStyle w:val="ListNumber"/>
      </w:pPr>
      <w:r>
        <w:rPr>
          <w:b/>
        </w:rPr>
        <w:t xml:space="preserve">Adopt the finance summary in displays: </w:t>
      </w:r>
      <w:r>
        <w:t>Move the main pupil fees page, family account page, parent fees views, printouts, and analytics cards to read totals from the shared finance summary instead of recalculating balances independently.</w:t>
      </w:r>
    </w:p>
    <w:p>
      <w:pPr>
        <w:pStyle w:val="ListNumber"/>
      </w:pPr>
      <w:r>
        <w:rPr>
          <w:b/>
        </w:rPr>
        <w:t xml:space="preserve">Add a Finance Reconciliation Dashboard: </w:t>
      </w:r>
      <w:r>
        <w:t>Show pupils/families where payment records, carry-forward balances, uniform tracking, requirement tracking, or banking totals disagree. This should become the daily admin check for money accuracy.</w:t>
      </w:r>
    </w:p>
    <w:p>
      <w:pPr>
        <w:pStyle w:val="ListNumber"/>
      </w:pPr>
      <w:r>
        <w:rPr>
          <w:b/>
        </w:rPr>
        <w:t xml:space="preserve">Add duplicate-payment controls: </w:t>
      </w:r>
      <w:r>
        <w:t>Use the finance service warning output to flag possible duplicate payments before saving and to show admins where duplicate source records already exist.</w:t>
      </w:r>
    </w:p>
    <w:p>
      <w:pPr>
        <w:pStyle w:val="ListNumber"/>
      </w:pPr>
      <w:r>
        <w:rPr>
          <w:b/>
        </w:rPr>
        <w:t xml:space="preserve">Finish typecheck cleanup: </w:t>
      </w:r>
      <w:r>
        <w:t>The project still has existing TypeScript errors in older pages and services. Fix those by module, then enforce typecheck in deployment so future finance regressions are caught early.</w:t>
      </w:r>
    </w:p>
    <w:p>
      <w:pPr>
        <w:pStyle w:val="ListNumber"/>
      </w:pPr>
      <w:r>
        <w:rPr>
          <w:b/>
        </w:rPr>
        <w:t xml:space="preserve">Strengthen reversal and adjustment approvals: </w:t>
      </w:r>
      <w:r>
        <w:t>Require authenticated actor, reason, timestamp, and optional supervisor approval for reversals, deletions, carry-forward adjustments, and banking reversals.</w:t>
      </w:r>
    </w:p>
    <w:p>
      <w:pPr>
        <w:pStyle w:val="ListNumber"/>
      </w:pPr>
      <w:r>
        <w:rPr>
          <w:b/>
        </w:rPr>
        <w:t xml:space="preserve">Move maintenance tools behind permissions: </w:t>
      </w:r>
      <w:r>
        <w:t>Middleware hides risky surfaces in production, but the next step is a locked admin maintenance area with explicit permissions, audit logs, and no public navigation.</w:t>
      </w:r>
    </w:p>
    <w:p>
      <w:pPr>
        <w:pStyle w:val="ListNumber"/>
      </w:pPr>
      <w:r>
        <w:rPr>
          <w:b/>
        </w:rPr>
        <w:t xml:space="preserve">Document Firestore ownership: </w:t>
      </w:r>
      <w:r>
        <w:t>Create a collection ownership map showing which module writes, reads, and reconciles each money-related collection to prevent future duplicate ledgers.</w:t>
      </w:r>
    </w:p>
    <w:p>
      <w:r>
        <w:rPr>
          <w:b/>
        </w:rPr>
        <w:t xml:space="preserve">Deployment note: </w:t>
      </w:r>
      <w:r>
        <w:t>This pass does not remove existing ledgers. It introduces a canonical calculation layer and shared refresh behavior first, which is the safer path because existing screens continue working while they are migrated one by one to the shared summary.</w:t>
      </w:r>
    </w:p>
    <w:sectPr w:rsidR="00FC693F" w:rsidRPr="0006063C" w:rsidSect="00034616">
      <w:headerReference w:type="default" r:id="rId9"/>
      <w:footerReference w:type="default" r:id="rId10"/>
      <w:pgSz w:w="12240" w:h="15840"/>
      <w:pgMar w:top="1152" w:right="1152" w:bottom="1080"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Prepared from codebase review, typecheck output, and module scan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Trinity Family School - System Improvement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Calibr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