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eastAsia="Arial"/>
          <w:b/>
          <w:color w:val="2E74B5"/>
          <w:sz w:val="20"/>
        </w:rPr>
        <w:t>TECHNICAL DECISION MEMO</w:t>
      </w:r>
    </w:p>
    <w:p>
      <w:pPr>
        <w:spacing w:after="100"/>
      </w:pPr>
      <w:r>
        <w:rPr>
          <w:rFonts w:ascii="Arial" w:hAnsi="Arial" w:eastAsia="Arial"/>
          <w:b/>
          <w:color w:val="111827"/>
          <w:sz w:val="48"/>
        </w:rPr>
        <w:t>Pupil Fees Collection Page</w:t>
      </w:r>
    </w:p>
    <w:p>
      <w:pPr>
        <w:spacing w:after="320"/>
      </w:pPr>
      <w:r>
        <w:rPr>
          <w:rFonts w:ascii="Arial" w:hAnsi="Arial" w:eastAsia="Arial"/>
          <w:color w:val="5B6472"/>
          <w:sz w:val="28"/>
        </w:rPr>
        <w:t>Data-flow, Firestore read efficiency, front-end impact, and change-risk assessment</w:t>
      </w:r>
    </w:p>
    <w:p>
      <w:pPr>
        <w:spacing w:after="40" w:line="264" w:lineRule="auto"/>
      </w:pPr>
      <w:r>
        <w:rPr>
          <w:rFonts w:ascii="Arial" w:hAnsi="Arial" w:eastAsia="Arial"/>
          <w:b/>
          <w:color w:val="1F4D78"/>
          <w:sz w:val="22"/>
        </w:rPr>
        <w:t xml:space="preserve">System: </w:t>
      </w:r>
      <w:r>
        <w:rPr>
          <w:rFonts w:ascii="Arial" w:hAnsi="Arial" w:eastAsia="Arial"/>
          <w:color w:val="111827"/>
          <w:sz w:val="22"/>
        </w:rPr>
        <w:t>Trinity Family School Management Application</w:t>
      </w:r>
    </w:p>
    <w:p>
      <w:pPr>
        <w:spacing w:after="40" w:line="264" w:lineRule="auto"/>
      </w:pPr>
      <w:r>
        <w:rPr>
          <w:rFonts w:ascii="Arial" w:hAnsi="Arial" w:eastAsia="Arial"/>
          <w:b/>
          <w:color w:val="1F4D78"/>
          <w:sz w:val="22"/>
        </w:rPr>
        <w:t xml:space="preserve">Route: </w:t>
      </w:r>
      <w:r>
        <w:rPr>
          <w:rFonts w:ascii="Arial" w:hAnsi="Arial" w:eastAsia="Arial"/>
          <w:color w:val="111827"/>
          <w:sz w:val="22"/>
        </w:rPr>
        <w:t>/fees/collect/[id]</w:t>
      </w:r>
    </w:p>
    <w:p>
      <w:pPr>
        <w:spacing w:after="40" w:line="264" w:lineRule="auto"/>
      </w:pPr>
      <w:r>
        <w:rPr>
          <w:rFonts w:ascii="Arial" w:hAnsi="Arial" w:eastAsia="Arial"/>
          <w:b/>
          <w:color w:val="1F4D78"/>
          <w:sz w:val="22"/>
        </w:rPr>
        <w:t xml:space="preserve">Assessment date: </w:t>
      </w:r>
      <w:r>
        <w:rPr>
          <w:rFonts w:ascii="Arial" w:hAnsi="Arial" w:eastAsia="Arial"/>
          <w:color w:val="111827"/>
          <w:sz w:val="22"/>
        </w:rPr>
        <w:t>30 July 2026</w:t>
      </w:r>
    </w:p>
    <w:p>
      <w:pPr>
        <w:spacing w:after="40" w:line="264" w:lineRule="auto"/>
      </w:pPr>
      <w:r>
        <w:rPr>
          <w:rFonts w:ascii="Arial" w:hAnsi="Arial" w:eastAsia="Arial"/>
          <w:b/>
          <w:color w:val="1F4D78"/>
          <w:sz w:val="22"/>
        </w:rPr>
        <w:t xml:space="preserve">Current user position: </w:t>
      </w:r>
      <w:r>
        <w:rPr>
          <w:rFonts w:ascii="Arial" w:hAnsi="Arial" w:eastAsia="Arial"/>
          <w:color w:val="111827"/>
          <w:sz w:val="22"/>
        </w:rPr>
        <w:t>The page works as expected and has no reported front-end complaint</w:t>
      </w:r>
    </w:p>
    <w:p>
      <w:pPr>
        <w:spacing w:after="40" w:line="264" w:lineRule="auto"/>
      </w:pPr>
      <w:r>
        <w:rPr>
          <w:rFonts w:ascii="Arial" w:hAnsi="Arial" w:eastAsia="Arial"/>
          <w:b/>
          <w:color w:val="1F4D78"/>
          <w:sz w:val="22"/>
        </w:rPr>
        <w:t xml:space="preserve">Decision required: </w:t>
      </w:r>
      <w:r>
        <w:rPr>
          <w:rFonts w:ascii="Arial" w:hAnsi="Arial" w:eastAsia="Arial"/>
          <w:color w:val="111827"/>
          <w:sz w:val="22"/>
        </w:rPr>
        <w:t>Which internal optimizations are valuable enough to justify controlled change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EFF6FF"/>
          </w:tcPr>
          <w:p>
            <w:pPr>
              <w:spacing w:after="60"/>
            </w:pPr>
            <w:r>
              <w:rPr>
                <w:rFonts w:ascii="Arial" w:hAnsi="Arial" w:eastAsia="Arial"/>
                <w:b/>
                <w:color w:val="1F4D78"/>
                <w:sz w:val="22"/>
              </w:rPr>
              <w:t>Executive recommendation</w:t>
            </w:r>
          </w:p>
          <w:p>
            <w:pPr>
              <w:spacing w:after="0" w:line="264" w:lineRule="auto"/>
            </w:pPr>
            <w:r>
              <w:rPr>
                <w:rFonts w:ascii="Arial" w:hAnsi="Arial" w:eastAsia="Arial"/>
                <w:color w:val="111827"/>
                <w:sz w:val="21"/>
              </w:rPr>
              <w:t>Do not rewrite this page. Preserve its visible behavior and payment workflow. Implement only isolated, measurable changes in stages, beginning with duplicate-read removal that does not alter calculations. Treat historical-snapshot and payment-error corrections as separate high-risk safety work with feature flags, fixtures, and rollback.</w:t>
            </w:r>
          </w:p>
        </w:tc>
      </w:tr>
    </w:tbl>
    <w:p>
      <w:pPr>
        <w:spacing w:after="20"/>
      </w:pPr>
    </w:p>
    <w:p>
      <w:pPr>
        <w:pStyle w:val="Heading1"/>
      </w:pPr>
      <w:r>
        <w:t>Purpose and decision posture</w:t>
      </w:r>
    </w:p>
    <w:p>
      <w:pPr>
        <w:spacing w:before="0" w:after="120" w:line="264" w:lineRule="auto"/>
      </w:pPr>
      <w:r>
        <w:rPr>
          <w:rFonts w:ascii="Arial" w:hAnsi="Arial" w:eastAsia="Arial"/>
          <w:color w:val="111827"/>
          <w:sz w:val="22"/>
        </w:rPr>
        <w:t>This report explains exactly how the pupil fees collection page is affected by repeated reads, unnecessary refetches, and hidden correctness risks. It also explains why users may not notice these issues today, what each improvement would change internally, what should remain visually identical, and when the risk of modification is not justified.</w:t>
      </w:r>
    </w:p>
    <w:p>
      <w:pPr>
        <w:spacing w:before="0" w:after="120" w:line="264" w:lineRule="auto"/>
      </w:pPr>
      <w:r>
        <w:rPr>
          <w:rFonts w:ascii="Arial" w:hAnsi="Arial" w:eastAsia="Arial"/>
          <w:color w:val="111827"/>
          <w:sz w:val="22"/>
        </w:rPr>
        <w:t>Important distinction: a working screen can still perform redundant database work. React Query deduplication, Firestore caching, fast connections, and optimistic updates can hide that work from the user. Therefore, the absence of a complaint is evidence that the current user experience must be preserved; it is not evidence that every internal read is necessary.</w:t>
      </w:r>
    </w:p>
    <w:p>
      <w:pPr>
        <w:pStyle w:val="Heading1"/>
      </w:pPr>
      <w:r>
        <w:t>Contents</w:t>
      </w:r>
    </w:p>
    <w:p>
      <w:pPr>
        <w:pStyle w:val="ListBullet"/>
        <w:spacing w:after="120" w:line="264" w:lineRule="auto"/>
        <w:ind w:left="720" w:hanging="360"/>
      </w:pPr>
      <w:r>
        <w:rPr>
          <w:rFonts w:ascii="Arial" w:hAnsi="Arial" w:eastAsia="Arial"/>
          <w:color w:val="111827"/>
          <w:sz w:val="22"/>
        </w:rPr>
        <w:t>1. Executive judgment and what should not change</w:t>
      </w:r>
    </w:p>
    <w:p>
      <w:pPr>
        <w:pStyle w:val="ListBullet"/>
        <w:spacing w:after="120" w:line="264" w:lineRule="auto"/>
        <w:ind w:left="720" w:hanging="360"/>
      </w:pPr>
      <w:r>
        <w:rPr>
          <w:rFonts w:ascii="Arial" w:hAnsi="Arial" w:eastAsia="Arial"/>
          <w:color w:val="111827"/>
          <w:sz w:val="22"/>
        </w:rPr>
        <w:t>2. Current page data flow and read map</w:t>
      </w:r>
    </w:p>
    <w:p>
      <w:pPr>
        <w:pStyle w:val="ListBullet"/>
        <w:spacing w:after="120" w:line="264" w:lineRule="auto"/>
        <w:ind w:left="720" w:hanging="360"/>
      </w:pPr>
      <w:r>
        <w:rPr>
          <w:rFonts w:ascii="Arial" w:hAnsi="Arial" w:eastAsia="Arial"/>
          <w:color w:val="111827"/>
          <w:sz w:val="22"/>
        </w:rPr>
        <w:t>3. Detailed issue-by-issue analysis with live examples</w:t>
      </w:r>
    </w:p>
    <w:p>
      <w:pPr>
        <w:pStyle w:val="ListBullet"/>
        <w:spacing w:after="120" w:line="264" w:lineRule="auto"/>
        <w:ind w:left="720" w:hanging="360"/>
      </w:pPr>
      <w:r>
        <w:rPr>
          <w:rFonts w:ascii="Arial" w:hAnsi="Arial" w:eastAsia="Arial"/>
          <w:color w:val="111827"/>
          <w:sz w:val="22"/>
        </w:rPr>
        <w:t>4. Risk-versus-value classification</w:t>
      </w:r>
    </w:p>
    <w:p>
      <w:pPr>
        <w:pStyle w:val="ListBullet"/>
        <w:spacing w:after="120" w:line="264" w:lineRule="auto"/>
        <w:ind w:left="720" w:hanging="360"/>
      </w:pPr>
      <w:r>
        <w:rPr>
          <w:rFonts w:ascii="Arial" w:hAnsi="Arial" w:eastAsia="Arial"/>
          <w:color w:val="111827"/>
          <w:sz w:val="22"/>
        </w:rPr>
        <w:t>5. Recommended staged implementation</w:t>
      </w:r>
    </w:p>
    <w:p>
      <w:pPr>
        <w:pStyle w:val="ListBullet"/>
        <w:spacing w:after="120" w:line="264" w:lineRule="auto"/>
        <w:ind w:left="720" w:hanging="360"/>
      </w:pPr>
      <w:r>
        <w:rPr>
          <w:rFonts w:ascii="Arial" w:hAnsi="Arial" w:eastAsia="Arial"/>
          <w:color w:val="111827"/>
          <w:sz w:val="22"/>
        </w:rPr>
        <w:t>6. Test matrix, rollout gates, and rollback criteria</w:t>
      </w:r>
    </w:p>
    <w:p>
      <w:pPr>
        <w:pStyle w:val="ListBullet"/>
        <w:spacing w:after="120" w:line="264" w:lineRule="auto"/>
        <w:ind w:left="720" w:hanging="360"/>
      </w:pPr>
      <w:r>
        <w:rPr>
          <w:rFonts w:ascii="Arial" w:hAnsi="Arial" w:eastAsia="Arial"/>
          <w:color w:val="111827"/>
          <w:sz w:val="22"/>
        </w:rPr>
        <w:t>7. Technical appendices and code evidence</w:t>
      </w:r>
    </w:p>
    <w:p>
      <w:r>
        <w:br w:type="page"/>
      </w:r>
    </w:p>
    <w:p>
      <w:pPr>
        <w:pStyle w:val="Heading1"/>
      </w:pPr>
      <w:r>
        <w:t>1. Executive judgment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ECFDF5"/>
          </w:tcPr>
          <w:p>
            <w:pPr>
              <w:spacing w:after="60"/>
            </w:pPr>
            <w:r>
              <w:rPr>
                <w:rFonts w:ascii="Arial" w:hAnsi="Arial" w:eastAsia="Arial"/>
                <w:b/>
                <w:color w:val="166534"/>
                <w:sz w:val="22"/>
              </w:rPr>
              <w:t>Bottom line</w:t>
            </w:r>
          </w:p>
          <w:p>
            <w:pPr>
              <w:spacing w:after="0" w:line="264" w:lineRule="auto"/>
            </w:pPr>
            <w:r>
              <w:rPr>
                <w:rFonts w:ascii="Arial" w:hAnsi="Arial" w:eastAsia="Arial"/>
                <w:color w:val="111827"/>
                <w:sz w:val="21"/>
              </w:rPr>
              <w:t>The optimization is worth doing only as a controlled internal refactor. The safest opportunities can reduce substantial reads without changing what users see. A broad rewrite is not worth the risk.</w:t>
            </w:r>
          </w:p>
        </w:tc>
      </w:tr>
    </w:tbl>
    <w:p>
      <w:pPr>
        <w:spacing w:after="20"/>
      </w:pPr>
    </w:p>
    <w:p>
      <w:pPr>
        <w:spacing w:before="0" w:after="120" w:line="264" w:lineRule="auto"/>
      </w:pPr>
      <w:r>
        <w:rPr>
          <w:rFonts w:ascii="Arial" w:hAnsi="Arial" w:eastAsia="Arial"/>
          <w:color w:val="111827"/>
          <w:sz w:val="22"/>
        </w:rPr>
        <w:t>The page currently succeeds at the user-facing jobs that matter:</w:t>
      </w:r>
    </w:p>
    <w:p>
      <w:pPr>
        <w:pStyle w:val="ListBullet"/>
        <w:spacing w:after="120" w:line="264" w:lineRule="auto"/>
        <w:ind w:left="720" w:hanging="360"/>
      </w:pPr>
      <w:r>
        <w:rPr>
          <w:rFonts w:ascii="Arial" w:hAnsi="Arial" w:eastAsia="Arial"/>
          <w:color w:val="111827"/>
          <w:sz w:val="22"/>
        </w:rPr>
        <w:t>It shows the selected pupil, academic year, and term.</w:t>
      </w:r>
    </w:p>
    <w:p>
      <w:pPr>
        <w:pStyle w:val="ListBullet"/>
        <w:spacing w:after="120" w:line="264" w:lineRule="auto"/>
        <w:ind w:left="720" w:hanging="360"/>
      </w:pPr>
      <w:r>
        <w:rPr>
          <w:rFonts w:ascii="Arial" w:hAnsi="Arial" w:eastAsia="Arial"/>
          <w:color w:val="111827"/>
          <w:sz w:val="22"/>
        </w:rPr>
        <w:t>It calculates regular fees, carry-forward balances, discounts, uniform fees, payments, and outstanding balances.</w:t>
      </w:r>
    </w:p>
    <w:p>
      <w:pPr>
        <w:pStyle w:val="ListBullet"/>
        <w:spacing w:after="120" w:line="264" w:lineRule="auto"/>
        <w:ind w:left="720" w:hanging="360"/>
      </w:pPr>
      <w:r>
        <w:rPr>
          <w:rFonts w:ascii="Arial" w:hAnsi="Arial" w:eastAsia="Arial"/>
          <w:color w:val="111827"/>
          <w:sz w:val="22"/>
        </w:rPr>
        <w:t>It supports single payments, multi-fee payments, reversals, assignments, SchoolPay redistribution, printing, and uniform collection.</w:t>
      </w:r>
    </w:p>
    <w:p>
      <w:pPr>
        <w:pStyle w:val="ListBullet"/>
        <w:spacing w:after="120" w:line="264" w:lineRule="auto"/>
        <w:ind w:left="720" w:hanging="360"/>
      </w:pPr>
      <w:r>
        <w:rPr>
          <w:rFonts w:ascii="Arial" w:hAnsi="Arial" w:eastAsia="Arial"/>
          <w:color w:val="111827"/>
          <w:sz w:val="22"/>
        </w:rPr>
        <w:t>Its main payment listener allows changes from SchoolPay or another device to appear without manually refreshing the page.</w:t>
      </w:r>
    </w:p>
    <w:p>
      <w:pPr>
        <w:spacing w:before="0" w:after="120" w:line="264" w:lineRule="auto"/>
      </w:pPr>
      <w:r>
        <w:rPr>
          <w:rFonts w:ascii="Arial" w:hAnsi="Arial" w:eastAsia="Arial"/>
          <w:color w:val="111827"/>
          <w:sz w:val="22"/>
        </w:rPr>
        <w:t>The proposed work must not change:</w:t>
      </w:r>
    </w:p>
    <w:p>
      <w:pPr>
        <w:pStyle w:val="ListBullet"/>
        <w:spacing w:after="120" w:line="264" w:lineRule="auto"/>
        <w:ind w:left="720" w:hanging="360"/>
      </w:pPr>
      <w:r>
        <w:rPr>
          <w:rFonts w:ascii="Arial" w:hAnsi="Arial" w:eastAsia="Arial"/>
          <w:color w:val="111827"/>
          <w:sz w:val="22"/>
        </w:rPr>
        <w:t>fee applicability, year scoping, or historical fee amounts;</w:t>
      </w:r>
    </w:p>
    <w:p>
      <w:pPr>
        <w:pStyle w:val="ListBullet"/>
        <w:spacing w:after="120" w:line="264" w:lineRule="auto"/>
        <w:ind w:left="720" w:hanging="360"/>
      </w:pPr>
      <w:r>
        <w:rPr>
          <w:rFonts w:ascii="Arial" w:hAnsi="Arial" w:eastAsia="Arial"/>
          <w:color w:val="111827"/>
          <w:sz w:val="22"/>
        </w:rPr>
        <w:t>payment allocation, carry-forward distribution, or reversal behavior;</w:t>
      </w:r>
    </w:p>
    <w:p>
      <w:pPr>
        <w:pStyle w:val="ListBullet"/>
        <w:spacing w:after="120" w:line="264" w:lineRule="auto"/>
        <w:ind w:left="720" w:hanging="360"/>
      </w:pPr>
      <w:r>
        <w:rPr>
          <w:rFonts w:ascii="Arial" w:hAnsi="Arial" w:eastAsia="Arial"/>
          <w:color w:val="111827"/>
          <w:sz w:val="22"/>
        </w:rPr>
        <w:t>the visible order, names, totals, balances, buttons, or modal workflows;</w:t>
      </w:r>
    </w:p>
    <w:p>
      <w:pPr>
        <w:pStyle w:val="ListBullet"/>
        <w:spacing w:after="120" w:line="264" w:lineRule="auto"/>
        <w:ind w:left="720" w:hanging="360"/>
      </w:pPr>
      <w:r>
        <w:rPr>
          <w:rFonts w:ascii="Arial" w:hAnsi="Arial" w:eastAsia="Arial"/>
          <w:color w:val="111827"/>
          <w:sz w:val="22"/>
        </w:rPr>
        <w:t>cross-device visibility of newly recorded payments;</w:t>
      </w:r>
    </w:p>
    <w:p>
      <w:pPr>
        <w:pStyle w:val="ListBullet"/>
        <w:spacing w:after="120" w:line="264" w:lineRule="auto"/>
        <w:ind w:left="720" w:hanging="360"/>
      </w:pPr>
      <w:r>
        <w:rPr>
          <w:rFonts w:ascii="Arial" w:hAnsi="Arial" w:eastAsia="Arial"/>
          <w:color w:val="111827"/>
          <w:sz w:val="22"/>
        </w:rPr>
        <w:t>uniform collection status, quantities, sizes, or inventory protection.</w:t>
      </w:r>
    </w:p>
    <w:tbl>
      <w:tblPr>
        <w:tblStyle w:val="TableGrid"/>
        <w:tblW w:type="dxa" w:w="9360"/>
        <w:tblLayout w:type="fixed"/>
        <w:tblLook w:firstColumn="1" w:firstRow="1" w:lastColumn="0" w:lastRow="0" w:noHBand="0" w:noVBand="1" w:val="04A0"/>
        <w:jc w:val="left"/>
        <w:tblInd w:w="120" w:type="dxa"/>
      </w:tblPr>
      <w:tblGrid>
        <w:gridCol w:w="1800"/>
        <w:gridCol w:w="2600"/>
        <w:gridCol w:w="1800"/>
        <w:gridCol w:w="3160"/>
      </w:tblGrid>
      <w:tr>
        <w:trPr>
          <w:tblHeader w:val="true"/>
        </w:trP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Decision area</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Current condition</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Recommendation</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Reason</w:t>
            </w:r>
          </w:p>
        </w:tc>
      </w:tr>
      <w:t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Duplicate fee/uniform reads</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Invisible to most users but repeatedly billed</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Proceed first</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High benefit; low visible-behavior risk when data is derived from the same shared source</w:t>
            </w:r>
          </w:p>
        </w:tc>
      </w:tr>
      <w:t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Signature reads</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One query per displayed payment</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Proceed after baseline</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Large read amplifier; can be made lazy without changing payment calculations</w:t>
            </w:r>
          </w:p>
        </w:tc>
      </w:tr>
      <w:t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Snapshot ownership</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Duplicate reads and possible current-class fallback</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Proceed carefully</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Correctness benefit is high, but historical fee behavior is sensitive</w:t>
            </w:r>
          </w:p>
        </w:tc>
      </w:tr>
      <w:t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Payment listener</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One primary live listener</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Keep</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Real-time payment accuracy is worth the listener on this transactional page</w:t>
            </w:r>
          </w:p>
        </w:tc>
      </w:tr>
      <w:tr>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Wholesale hook rewrite</w:t>
            </w:r>
          </w:p>
        </w:tc>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Would touch most fee paths at once</w:t>
            </w:r>
          </w:p>
        </w:tc>
        <w:tc>
          <w:tcPr>
            <w:tcW w:type="dxa" w:w="18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Do not proceed</w:t>
            </w:r>
          </w:p>
        </w:tc>
        <w:tc>
          <w:tcPr>
            <w:tcW w:type="dxa" w:w="3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Regression risk is greater than the expected benefit</w:t>
            </w:r>
          </w:p>
        </w:tc>
      </w:tr>
    </w:tbl>
    <w:p>
      <w:pPr>
        <w:spacing w:after="20"/>
      </w:pPr>
    </w:p>
    <w:p>
      <w:pPr>
        <w:pStyle w:val="Heading2"/>
      </w:pPr>
      <w:r>
        <w:t>Why users may not complain today</w:t>
      </w:r>
    </w:p>
    <w:p>
      <w:pPr>
        <w:pStyle w:val="ListBullet"/>
        <w:spacing w:after="120" w:line="264" w:lineRule="auto"/>
        <w:ind w:left="720" w:hanging="360"/>
      </w:pPr>
      <w:r>
        <w:rPr>
          <w:rFonts w:ascii="Arial" w:hAnsi="Arial" w:eastAsia="Arial"/>
          <w:color w:val="111827"/>
          <w:sz w:val="22"/>
        </w:rPr>
        <w:t>Duplicate queries often finish in parallel, so the user sees one loading period rather than several.</w:t>
      </w:r>
    </w:p>
    <w:p>
      <w:pPr>
        <w:pStyle w:val="ListBullet"/>
        <w:spacing w:after="120" w:line="264" w:lineRule="auto"/>
        <w:ind w:left="720" w:hanging="360"/>
      </w:pPr>
      <w:r>
        <w:rPr>
          <w:rFonts w:ascii="Arial" w:hAnsi="Arial" w:eastAsia="Arial"/>
          <w:color w:val="111827"/>
          <w:sz w:val="22"/>
        </w:rPr>
        <w:t>React Query deduplicates identical keys, which hides some repeated component subscriptions even though differently keyed queries still read separately.</w:t>
      </w:r>
    </w:p>
    <w:p>
      <w:pPr>
        <w:pStyle w:val="ListBullet"/>
        <w:spacing w:after="120" w:line="264" w:lineRule="auto"/>
        <w:ind w:left="720" w:hanging="360"/>
      </w:pPr>
      <w:r>
        <w:rPr>
          <w:rFonts w:ascii="Arial" w:hAnsi="Arial" w:eastAsia="Arial"/>
          <w:color w:val="111827"/>
          <w:sz w:val="22"/>
        </w:rPr>
        <w:t>Firestore can return cached documents quickly while still reconciling with the server.</w:t>
      </w:r>
    </w:p>
    <w:p>
      <w:pPr>
        <w:pStyle w:val="ListBullet"/>
        <w:spacing w:after="120" w:line="264" w:lineRule="auto"/>
        <w:ind w:left="720" w:hanging="360"/>
      </w:pPr>
      <w:r>
        <w:rPr>
          <w:rFonts w:ascii="Arial" w:hAnsi="Arial" w:eastAsia="Arial"/>
          <w:color w:val="111827"/>
          <w:sz w:val="22"/>
        </w:rPr>
        <w:t>Optimistic updates and the live payment listener make payment changes feel immediate.</w:t>
      </w:r>
    </w:p>
    <w:p>
      <w:pPr>
        <w:pStyle w:val="ListBullet"/>
        <w:spacing w:after="120" w:line="264" w:lineRule="auto"/>
        <w:ind w:left="720" w:hanging="360"/>
      </w:pPr>
      <w:r>
        <w:rPr>
          <w:rFonts w:ascii="Arial" w:hAnsi="Arial" w:eastAsia="Arial"/>
          <w:color w:val="111827"/>
          <w:sz w:val="22"/>
        </w:rPr>
        <w:t>Most inefficiency appears in Firebase usage and background work rather than visible errors.</w:t>
      </w:r>
    </w:p>
    <w:p>
      <w:pPr>
        <w:pStyle w:val="ListBullet"/>
        <w:spacing w:after="120" w:line="264" w:lineRule="auto"/>
        <w:ind w:left="720" w:hanging="360"/>
      </w:pPr>
      <w:r>
        <w:rPr>
          <w:rFonts w:ascii="Arial" w:hAnsi="Arial" w:eastAsia="Arial"/>
          <w:color w:val="111827"/>
          <w:sz w:val="22"/>
        </w:rPr>
        <w:t>The most serious correctness risks occur mainly during failure, slow-network, cross-device edit, or ended-term edge cases.</w:t>
      </w:r>
    </w:p>
    <w:p>
      <w:r>
        <w:br w:type="page"/>
      </w:r>
    </w:p>
    <w:p>
      <w:pPr>
        <w:pStyle w:val="Heading1"/>
      </w:pPr>
      <w:r>
        <w:t>2. Current page data flow</w:t>
      </w:r>
    </w:p>
    <w:p>
      <w:pPr>
        <w:spacing w:before="0" w:after="120" w:line="264" w:lineRule="auto"/>
      </w:pPr>
      <w:r>
        <w:rPr>
          <w:rFonts w:ascii="Arial" w:hAnsi="Arial" w:eastAsia="Arial"/>
          <w:color w:val="111827"/>
          <w:sz w:val="22"/>
        </w:rPr>
        <w:t>The route mounts one large client component, which then mounts shared hooks, the custom usePupilFees hook, one FeeCard per fee, and several modal components. Some hooks correctly reuse global memory; others create private query keys that point back to the same Firestore collections.</w:t>
      </w:r>
    </w:p>
    <w:tbl>
      <w:tblPr>
        <w:tblStyle w:val="TableGrid"/>
        <w:tblW w:type="dxa" w:w="9360"/>
        <w:tblLayout w:type="fixed"/>
        <w:tblLook w:firstColumn="1" w:firstRow="1" w:lastColumn="0" w:lastRow="0" w:noHBand="0" w:noVBand="1" w:val="04A0"/>
        <w:jc w:val="left"/>
        <w:tblInd w:w="120" w:type="dxa"/>
      </w:tblPr>
      <w:tblGrid>
        <w:gridCol w:w="1650"/>
        <w:gridCol w:w="2500"/>
        <w:gridCol w:w="2650"/>
        <w:gridCol w:w="2560"/>
      </w:tblGrid>
      <w:tr>
        <w:trPr>
          <w:tblHeader w:val="true"/>
        </w:trP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Data family</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Current owner(s)</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Read behavior</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Audit assessment</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Academic years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Global academic-year cache; reused by page and modal</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Memory-first; no private page read</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Good</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Pupils and classes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Global preloader plus shared hooks</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Memory-first; pupil detail derives from the list cache</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Good</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Staff</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Shared staff cache through useStaffById</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private staff read from each fee card</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Good</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Payments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One pupil-scoped onSnapshot listener</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Initial pupil payment query plus live document changes</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Necessary on the active collection page</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Fee structures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Global preloader plus three page query families</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Repeated full or active collection reads</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Primary duplication</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 definitions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Global cache plus active and filtered queries</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Two extra active-uniform reads</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Unnecessary</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 tracking</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Pupil-scoped query</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Five-minute stale window; explicit invalidations trigger rereads</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Needs precise mutation flow</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Historical snapshot</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Main component effect plus usePupilFees query</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Duplicate ended-term reads</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Unnecessary and risky</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Payment signatures</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One query per displayed payment ID</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N+1 pattern</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Potentially the largest variable read cost</w:t>
            </w:r>
          </w:p>
        </w:tc>
      </w:tr>
      <w:tr>
        <w:tc>
          <w:tcPr>
            <w:tcW w:type="dxa" w:w="1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SchoolPay dismissal state</w:t>
            </w:r>
          </w:p>
        </w:tc>
        <w:tc>
          <w:tcPr>
            <w:tcW w:type="dxa" w:w="25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Direct effect query</w:t>
            </w:r>
          </w:p>
        </w:tc>
        <w:tc>
          <w:tcPr>
            <w:tcW w:type="dxa" w:w="26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Rereads on component remount or term switch</w:t>
            </w:r>
          </w:p>
        </w:tc>
        <w:tc>
          <w:tcPr>
            <w:tcW w:type="dxa" w:w="25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Cacheable</w:t>
            </w:r>
          </w:p>
        </w:tc>
      </w:tr>
    </w:tbl>
    <w:p>
      <w:pPr>
        <w:spacing w:after="20"/>
      </w:pPr>
    </w:p>
    <w:p>
      <w:pPr>
        <w:pStyle w:val="Heading2"/>
      </w:pPr>
      <w:r>
        <w:t>Illustrative read path on a normal page opening</w:t>
      </w:r>
    </w:p>
    <w:p>
      <w:pPr>
        <w:spacing w:before="0" w:after="120" w:line="264" w:lineRule="auto"/>
      </w:pPr>
      <w:r>
        <w:rPr>
          <w:rFonts w:ascii="Arial" w:hAnsi="Arial" w:eastAsia="Arial"/>
          <w:color w:val="111827"/>
          <w:sz w:val="22"/>
        </w:rPr>
        <w:t>The following is a code-path estimate, not production telemetry. Actual billed reads depend on cache age, record counts, Firestore source selection, network state, and whether the global preloader has already completed.</w:t>
      </w:r>
    </w:p>
    <w:p>
      <w:pPr>
        <w:pStyle w:val="ListNumber"/>
        <w:spacing w:after="120" w:line="264" w:lineRule="auto"/>
        <w:ind w:left="720" w:hanging="360"/>
      </w:pPr>
      <w:r>
        <w:rPr>
          <w:rFonts w:ascii="Arial" w:hAnsi="Arial" w:eastAsia="Arial"/>
          <w:color w:val="111827"/>
          <w:sz w:val="22"/>
        </w:rPr>
        <w:t>The global preloader loads fee structures and uniform definitions into its own query keys.</w:t>
      </w:r>
    </w:p>
    <w:p>
      <w:pPr>
        <w:pStyle w:val="ListNumber"/>
        <w:spacing w:after="120" w:line="264" w:lineRule="auto"/>
        <w:ind w:left="720" w:hanging="360"/>
      </w:pPr>
      <w:r>
        <w:rPr>
          <w:rFonts w:ascii="Arial" w:hAnsi="Arial" w:eastAsia="Arial"/>
          <w:color w:val="111827"/>
          <w:sz w:val="22"/>
        </w:rPr>
        <w:t>The page opens a legacy all-fee-structures query under a different key.</w:t>
      </w:r>
    </w:p>
    <w:p>
      <w:pPr>
        <w:pStyle w:val="ListNumber"/>
        <w:spacing w:after="120" w:line="264" w:lineRule="auto"/>
        <w:ind w:left="720" w:hanging="360"/>
      </w:pPr>
      <w:r>
        <w:rPr>
          <w:rFonts w:ascii="Arial" w:hAnsi="Arial" w:eastAsia="Arial"/>
          <w:color w:val="111827"/>
          <w:sz w:val="22"/>
        </w:rPr>
        <w:t>usePupilFees opens another all-fee-structures query for carry-forward calculations.</w:t>
      </w:r>
    </w:p>
    <w:p>
      <w:pPr>
        <w:pStyle w:val="ListNumber"/>
        <w:spacing w:after="120" w:line="264" w:lineRule="auto"/>
        <w:ind w:left="720" w:hanging="360"/>
      </w:pPr>
      <w:r>
        <w:rPr>
          <w:rFonts w:ascii="Arial" w:hAnsi="Arial" w:eastAsia="Arial"/>
          <w:color w:val="111827"/>
          <w:sz w:val="22"/>
        </w:rPr>
        <w:t>usePupilFees opens an active-fee query for the selected academic year; the key also includes the term.</w:t>
      </w:r>
    </w:p>
    <w:p>
      <w:pPr>
        <w:pStyle w:val="ListNumber"/>
        <w:spacing w:after="120" w:line="264" w:lineRule="auto"/>
        <w:ind w:left="720" w:hanging="360"/>
      </w:pPr>
      <w:r>
        <w:rPr>
          <w:rFonts w:ascii="Arial" w:hAnsi="Arial" w:eastAsia="Arial"/>
          <w:color w:val="111827"/>
          <w:sz w:val="22"/>
        </w:rPr>
        <w:t>The page opens active-uniform and filtered-uniform queries even though all uniforms are already available.</w:t>
      </w:r>
    </w:p>
    <w:p>
      <w:pPr>
        <w:pStyle w:val="ListNumber"/>
        <w:spacing w:after="120" w:line="264" w:lineRule="auto"/>
        <w:ind w:left="720" w:hanging="360"/>
      </w:pPr>
      <w:r>
        <w:rPr>
          <w:rFonts w:ascii="Arial" w:hAnsi="Arial" w:eastAsia="Arial"/>
          <w:color w:val="111827"/>
          <w:sz w:val="22"/>
        </w:rPr>
        <w:t>The payment listener reads all payment documents for the pupil and remains active.</w:t>
      </w:r>
    </w:p>
    <w:p>
      <w:pPr>
        <w:pStyle w:val="ListNumber"/>
        <w:spacing w:after="120" w:line="264" w:lineRule="auto"/>
        <w:ind w:left="720" w:hanging="360"/>
      </w:pPr>
      <w:r>
        <w:rPr>
          <w:rFonts w:ascii="Arial" w:hAnsi="Arial" w:eastAsia="Arial"/>
          <w:color w:val="111827"/>
          <w:sz w:val="22"/>
        </w:rPr>
        <w:t>An ended term can cause the same pupil snapshot to be requested twice.</w:t>
      </w:r>
    </w:p>
    <w:p>
      <w:pPr>
        <w:pStyle w:val="ListNumber"/>
        <w:spacing w:after="120" w:line="264" w:lineRule="auto"/>
        <w:ind w:left="720" w:hanging="360"/>
      </w:pPr>
      <w:r>
        <w:rPr>
          <w:rFonts w:ascii="Arial" w:hAnsi="Arial" w:eastAsia="Arial"/>
          <w:color w:val="111827"/>
          <w:sz w:val="22"/>
        </w:rPr>
        <w:t>Each visible payment history entry can request its signature separately.</w:t>
      </w:r>
    </w:p>
    <w:p>
      <w:pPr>
        <w:pStyle w:val="ListNumber"/>
        <w:spacing w:after="120" w:line="264" w:lineRule="auto"/>
        <w:ind w:left="720" w:hanging="360"/>
      </w:pPr>
      <w:r>
        <w:rPr>
          <w:rFonts w:ascii="Arial" w:hAnsi="Arial" w:eastAsia="Arial"/>
          <w:color w:val="111827"/>
          <w:sz w:val="22"/>
        </w:rPr>
        <w:t>The hidden uniform modal causes uniform inventory to load even when the modal is never opened.</w:t>
      </w:r>
    </w:p>
    <w:tbl>
      <w:tblPr>
        <w:tblStyle w:val="TableGrid"/>
        <w:tblW w:type="dxa" w:w="9360"/>
        <w:tblLayout w:type="fixed"/>
        <w:tblLook w:firstColumn="1" w:firstRow="1" w:lastColumn="0" w:lastRow="0" w:noHBand="0" w:noVBand="1" w:val="04A0"/>
        <w:jc w:val="left"/>
        <w:tblInd w:w="120" w:type="dxa"/>
      </w:tblPr>
      <w:tblGrid>
        <w:gridCol w:w="2200"/>
        <w:gridCol w:w="2100"/>
        <w:gridCol w:w="2550"/>
        <w:gridCol w:w="2510"/>
      </w:tblGrid>
      <w:tr>
        <w:trPr>
          <w:tblHeader w:val="true"/>
        </w:trP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Read path</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Current mount estimate</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After controlled improvement</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User-visible change</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Fee-structure queries owned by this page</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Up to 3 query families</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0 private families; derive from 1 shared cache</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Active/filtered uniform queries</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2</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0; derive in memory</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Ended-term snapshot resolution</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Up to 2</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1 shared resolution</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 when successful</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Primary payment listener</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1</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1</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 intentionally retained</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Signature queries</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Up to 2 payment IDs per fee card</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0 on initial card render; lazy or batched</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Signature may appear after expansion</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SchoolPay modal listener</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1 additional listener when opened</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0 additional; reuse parent payments</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Inventory query</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Always mounted</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Only when a uniform fee or modal needs it</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None</w:t>
            </w:r>
          </w:p>
        </w:tc>
      </w:tr>
      <w:tr>
        <w:tc>
          <w:tcPr>
            <w:tcW w:type="dxa" w:w="22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Snapshot reads after ordinary payment</w:t>
            </w:r>
          </w:p>
        </w:tc>
        <w:tc>
          <w:tcPr>
            <w:tcW w:type="dxa" w:w="21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1 or more via invalidation</w:t>
            </w:r>
          </w:p>
        </w:tc>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0</w:t>
            </w:r>
          </w:p>
        </w:tc>
        <w:tc>
          <w:tcPr>
            <w:tcW w:type="dxa" w:w="25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Payment still updates through listener/cache</w:t>
            </w:r>
          </w:p>
        </w:tc>
      </w:tr>
    </w:tbl>
    <w:p>
      <w:pPr>
        <w:spacing w:after="20"/>
      </w:pPr>
    </w:p>
    <w:p>
      <w:r>
        <w:br w:type="page"/>
      </w:r>
    </w:p>
    <w:p>
      <w:pPr>
        <w:pStyle w:val="Heading1"/>
      </w:pPr>
      <w:r>
        <w:t>3. Detailed findings and live examples</w:t>
      </w:r>
    </w:p>
    <w:p>
      <w:pPr>
        <w:pStyle w:val="Heading2"/>
        <w:keepNext/>
      </w:pPr>
      <w:r>
        <w:t>1. Payment listener failure can look like zero payments</w:t>
      </w:r>
    </w:p>
    <w:p>
      <w:pPr>
        <w:spacing w:after="80" w:line="264" w:lineRule="auto"/>
      </w:pPr>
      <w:r>
        <w:rPr>
          <w:rFonts w:ascii="Arial" w:hAnsi="Arial" w:eastAsia="Arial"/>
          <w:b/>
          <w:color w:val="1F4D78"/>
          <w:sz w:val="22"/>
        </w:rPr>
        <w:t xml:space="preserve">Severity: </w:t>
      </w:r>
      <w:r>
        <w:rPr>
          <w:rFonts w:ascii="Arial" w:hAnsi="Arial" w:eastAsia="Arial"/>
          <w:color w:val="9B1C1C"/>
          <w:sz w:val="22"/>
        </w:rPr>
        <w:t>Critical correctness risk</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live payments listener stores payments in local React state. On listener failure, it logs the error and sets loading to false, but it does not preserve or expose a financial error state through usePupilFees.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 pupil has paid UGX 800,000. The device temporarily cannot reach Firestore. The listener fails before returning data. The hook now has an empty payment array and is no longer marked as loading. Fee cards can calculate against zero loaded payments, showing a larger balance than reality.</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Most users on healthy connections see the correct data, which explains the lack of complaints. During a network or permission failure, however, the screen can look complete rather than visibly unavailable.</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Keep the single live listener, but seed it from the last known cached payments. If the listener fails before a trustworthy dataset exists, show a clear stale/unavailable state and disable new payment and reversal actions until payment state is confirmed.</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This does not reduce the necessary listener read, but it prevents a silent financial misrepresentation and duplicate-payment risk.</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Medium-to-high. Changing loading and action-gating logic can affect payment availability during weak connectivity.</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Fixture-test a pupil with prior payments while forcing the listener to fail.</w:t>
      </w:r>
    </w:p>
    <w:p>
      <w:pPr>
        <w:pStyle w:val="ListBullet"/>
        <w:spacing w:after="120" w:line="264" w:lineRule="auto"/>
        <w:ind w:left="720" w:hanging="360"/>
      </w:pPr>
      <w:r>
        <w:rPr>
          <w:rFonts w:ascii="Arial" w:hAnsi="Arial" w:eastAsia="Arial"/>
          <w:color w:val="111827"/>
          <w:sz w:val="22"/>
        </w:rPr>
        <w:t>Confirm cached payments remain visible with a stale-data warning.</w:t>
      </w:r>
    </w:p>
    <w:p>
      <w:pPr>
        <w:pStyle w:val="ListBullet"/>
        <w:spacing w:after="120" w:line="264" w:lineRule="auto"/>
        <w:ind w:left="720" w:hanging="360"/>
      </w:pPr>
      <w:r>
        <w:rPr>
          <w:rFonts w:ascii="Arial" w:hAnsi="Arial" w:eastAsia="Arial"/>
          <w:color w:val="111827"/>
          <w:sz w:val="22"/>
        </w:rPr>
        <w:t>Confirm payment buttons are disabled only when no trustworthy payment state exists.</w:t>
      </w:r>
    </w:p>
    <w:p>
      <w:pPr>
        <w:pStyle w:val="ListBullet"/>
        <w:spacing w:after="120" w:line="264" w:lineRule="auto"/>
        <w:ind w:left="720" w:hanging="360"/>
      </w:pPr>
      <w:r>
        <w:rPr>
          <w:rFonts w:ascii="Arial" w:hAnsi="Arial" w:eastAsia="Arial"/>
          <w:color w:val="111827"/>
          <w:sz w:val="22"/>
        </w:rPr>
        <w:t>Confirm recovery removes the warning without remounting the page.</w:t>
      </w:r>
    </w:p>
    <w:p>
      <w:pPr>
        <w:spacing w:before="60" w:after="100"/>
      </w:pPr>
      <w:r>
        <w:rPr>
          <w:rFonts w:ascii="Arial" w:hAnsi="Arial" w:eastAsia="Arial"/>
          <w:i/>
          <w:color w:val="5B6472"/>
          <w:sz w:val="17"/>
        </w:rPr>
        <w:t>Code evidence: usePupilFees.ts lines 164-184 and 439-450.</w:t>
      </w:r>
    </w:p>
    <w:p>
      <w:pPr>
        <w:pStyle w:val="Heading2"/>
        <w:keepNext/>
      </w:pPr>
      <w:r>
        <w:t>2. Ended-term fees can temporarily use the current class</w:t>
      </w:r>
    </w:p>
    <w:p>
      <w:pPr>
        <w:spacing w:after="80" w:line="264" w:lineRule="auto"/>
      </w:pPr>
      <w:r>
        <w:rPr>
          <w:rFonts w:ascii="Arial" w:hAnsi="Arial" w:eastAsia="Arial"/>
          <w:b/>
          <w:color w:val="1F4D78"/>
          <w:sz w:val="22"/>
        </w:rPr>
        <w:t xml:space="preserve">Severity: </w:t>
      </w:r>
      <w:r>
        <w:rPr>
          <w:rFonts w:ascii="Arial" w:hAnsi="Arial" w:eastAsia="Arial"/>
          <w:color w:val="9B1C1C"/>
          <w:sz w:val="22"/>
        </w:rPr>
        <w:t>Critical historical accuracy risk</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snapshot query intentionally avoids placeholder data for ended terms, but fee processing still selects historicalPupil || pupil. Snapshot loading is also excluded from the page-level loading calculation.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 pupil was in Primary 4 during Term 3 of 2025 and was promoted to Primary 5 in 2026. An administrator opens 2025 Term 3. While the snapshot is loading, filtering can use the current Primary 5 class. A Primary-5-only fee may appear or a Primary-4 fee may disappear.</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On fast connections the incorrect intermediate state may last only briefly and therefore go unnoticed. On a slow or failed snapshot query it can persist and affect what the administrator believes is payable.</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Use one shared snapshot owner. For an ended term, do not calculate or enable payment actions until the historical class/section is confirmed. Current and future terms may continue to use the live pupil immediately.</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Eliminates duplicate snapshot reads and protects historical fee correctness.</w:t>
      </w:r>
    </w:p>
    <w:p>
      <w:pPr>
        <w:spacing w:after="80" w:line="264" w:lineRule="auto"/>
      </w:pPr>
      <w:r>
        <w:rPr>
          <w:rFonts w:ascii="Arial" w:hAnsi="Arial" w:eastAsia="Arial"/>
          <w:b/>
          <w:color w:val="1F4D78"/>
          <w:sz w:val="22"/>
        </w:rPr>
        <w:t xml:space="preserve">Modification risk: </w:t>
      </w:r>
      <w:r>
        <w:rPr>
          <w:rFonts w:ascii="Arial" w:hAnsi="Arial" w:eastAsia="Arial"/>
          <w:color w:val="9B1C1C"/>
          <w:sz w:val="22"/>
        </w:rPr>
        <w:t>High. This changes loading behavior for ended terms and could expose missing historical snapshots that the current fallback hides.</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Create golden fixtures for promoted, transferred, graduated, and section-changed pupils.</w:t>
      </w:r>
    </w:p>
    <w:p>
      <w:pPr>
        <w:pStyle w:val="ListBullet"/>
        <w:spacing w:after="120" w:line="264" w:lineRule="auto"/>
        <w:ind w:left="720" w:hanging="360"/>
      </w:pPr>
      <w:r>
        <w:rPr>
          <w:rFonts w:ascii="Arial" w:hAnsi="Arial" w:eastAsia="Arial"/>
          <w:color w:val="111827"/>
          <w:sz w:val="22"/>
        </w:rPr>
        <w:t>Compare every fee ID, amount, discount, paid total, and balance before and after.</w:t>
      </w:r>
    </w:p>
    <w:p>
      <w:pPr>
        <w:pStyle w:val="ListBullet"/>
        <w:spacing w:after="120" w:line="264" w:lineRule="auto"/>
        <w:ind w:left="720" w:hanging="360"/>
      </w:pPr>
      <w:r>
        <w:rPr>
          <w:rFonts w:ascii="Arial" w:hAnsi="Arial" w:eastAsia="Arial"/>
          <w:color w:val="111827"/>
          <w:sz w:val="22"/>
        </w:rPr>
        <w:t>Gate the behavior behind an ended-term safety flag.</w:t>
      </w:r>
    </w:p>
    <w:p>
      <w:pPr>
        <w:pStyle w:val="ListBullet"/>
        <w:spacing w:after="120" w:line="264" w:lineRule="auto"/>
        <w:ind w:left="720" w:hanging="360"/>
      </w:pPr>
      <w:r>
        <w:rPr>
          <w:rFonts w:ascii="Arial" w:hAnsi="Arial" w:eastAsia="Arial"/>
          <w:color w:val="111827"/>
          <w:sz w:val="22"/>
        </w:rPr>
        <w:t>Provide an explicit missing-snapshot recovery message rather than silently substituting current class data.</w:t>
      </w:r>
    </w:p>
    <w:p>
      <w:pPr>
        <w:spacing w:before="60" w:after="100"/>
      </w:pPr>
      <w:r>
        <w:rPr>
          <w:rFonts w:ascii="Arial" w:hAnsi="Arial" w:eastAsia="Arial"/>
          <w:i/>
          <w:color w:val="5B6472"/>
          <w:sz w:val="17"/>
        </w:rPr>
        <w:t>Code evidence: usePupilFees.ts lines 249-313 and PupilFeesCollectionClient.tsx lines 459-512.</w:t>
      </w:r>
    </w:p>
    <w:p>
      <w:pPr>
        <w:pStyle w:val="Heading2"/>
        <w:keepNext/>
      </w:pPr>
      <w:r>
        <w:t>3. Fee structures are read through multiple independent owners</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read cost and consistency risk</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global preloader stores fee structures under ['fees','structures']. The page also mounts the legacy useFeeStructures key, an all-fees carry-forward key, and an applicable-year key. These query families can all call Firestore independently.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Suppose 54 fee structures exist. The preloader reads them. The page's legacy query can read all 54 again. The carry-forward query can read all 54 again. The active-year query reads the active subset again. Users still see one screen, but the database can serve the same records repeatedly.</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page usually looks correct because each result contains similar data. The hidden danger is that one owner can be newer than another, so the top assignment pills, fee cards, and SchoolPay labels may briefly disagree after an edit.</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Adopt ['fees','structures'] as the only definition source. Derive active, year-applicable, term-applicable, assignment-name, and carry-forward views with pure in-memory selectors. Fee creation/edit mutations must patch this owner and persistent cache.</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Removes up to three private fee-structure query families from this page, avoids cache disagreement, and makes the page render immediately from one known dataset.</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 Fee applicability is financially sensitive, and replacing service-side results with selectors must preserve every effectiveYears, status, year, class, section, assigned-pupil, discount, and adjustment rule.</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Run old and new selectors side by side in development and compare fee IDs and amounts.</w:t>
      </w:r>
    </w:p>
    <w:p>
      <w:pPr>
        <w:pStyle w:val="ListBullet"/>
        <w:spacing w:after="120" w:line="264" w:lineRule="auto"/>
        <w:ind w:left="720" w:hanging="360"/>
      </w:pPr>
      <w:r>
        <w:rPr>
          <w:rFonts w:ascii="Arial" w:hAnsi="Arial" w:eastAsia="Arial"/>
          <w:color w:val="111827"/>
          <w:sz w:val="22"/>
        </w:rPr>
        <w:t>Cover academic years from 2019 onward, locked years, disabled years, universal fees, and future effective years.</w:t>
      </w:r>
    </w:p>
    <w:p>
      <w:pPr>
        <w:pStyle w:val="ListBullet"/>
        <w:spacing w:after="120" w:line="264" w:lineRule="auto"/>
        <w:ind w:left="720" w:hanging="360"/>
      </w:pPr>
      <w:r>
        <w:rPr>
          <w:rFonts w:ascii="Arial" w:hAnsi="Arial" w:eastAsia="Arial"/>
          <w:color w:val="111827"/>
          <w:sz w:val="22"/>
        </w:rPr>
        <w:t>Do not delete the old query path until comparison telemetry reports no differences.</w:t>
      </w:r>
    </w:p>
    <w:p>
      <w:pPr>
        <w:pStyle w:val="ListBullet"/>
        <w:spacing w:after="120" w:line="264" w:lineRule="auto"/>
        <w:ind w:left="720" w:hanging="360"/>
      </w:pPr>
      <w:r>
        <w:rPr>
          <w:rFonts w:ascii="Arial" w:hAnsi="Arial" w:eastAsia="Arial"/>
          <w:color w:val="111827"/>
          <w:sz w:val="22"/>
        </w:rPr>
        <w:t>Keep the visible FeeCard data contract unchanged.</w:t>
      </w:r>
    </w:p>
    <w:p>
      <w:pPr>
        <w:spacing w:before="60" w:after="100"/>
      </w:pPr>
      <w:r>
        <w:rPr>
          <w:rFonts w:ascii="Arial" w:hAnsi="Arial" w:eastAsia="Arial"/>
          <w:i/>
          <w:color w:val="5B6472"/>
          <w:sz w:val="17"/>
        </w:rPr>
        <w:t>Code evidence: PupilFeesCollectionClient.tsx line 301; usePupilFees.ts lines 87-140; global-data-preloader.tsx lines 371-383.</w:t>
      </w:r>
    </w:p>
    <w:p>
      <w:pPr>
        <w:pStyle w:val="Heading2"/>
        <w:keepNext/>
      </w:pPr>
      <w:r>
        <w:t>4. Changing terms can repeat the same active-fee query</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repeated-read pattern</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applicable-fees query key contains academicYearId and selectedTermId. The Firestore query itself retrieves active fees for the year-applicability calculation and does not use selectedTermId in the server query.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An administrator opens Term 1, then Term 2, then Term 3 within the same academic year. Three different React Query keys are created. Each can execute the same active-fee collection query even though only in-memory term filtering differs.</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Term switching may still feel fast, especially after Firestore cache hydration. The read count and cache fragmentation remain.</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Make the source key year-level or, preferably, eliminate it by deriving all term views from the one shared fee-structure dataset.</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Term switching becomes a pure memory operation and creates no fee-structure reads.</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Low if implemented after the single-owner selector has equivalence tests.</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Assert that switching terms makes zero fee-structure service calls.</w:t>
      </w:r>
    </w:p>
    <w:p>
      <w:pPr>
        <w:pStyle w:val="ListBullet"/>
        <w:spacing w:after="120" w:line="264" w:lineRule="auto"/>
        <w:ind w:left="720" w:hanging="360"/>
      </w:pPr>
      <w:r>
        <w:rPr>
          <w:rFonts w:ascii="Arial" w:hAnsi="Arial" w:eastAsia="Arial"/>
          <w:color w:val="111827"/>
          <w:sz w:val="22"/>
        </w:rPr>
        <w:t>Compare fee IDs and totals for all terms before and after.</w:t>
      </w:r>
    </w:p>
    <w:p>
      <w:pPr>
        <w:pStyle w:val="ListBullet"/>
        <w:spacing w:after="120" w:line="264" w:lineRule="auto"/>
        <w:ind w:left="720" w:hanging="360"/>
      </w:pPr>
      <w:r>
        <w:rPr>
          <w:rFonts w:ascii="Arial" w:hAnsi="Arial" w:eastAsia="Arial"/>
          <w:color w:val="111827"/>
          <w:sz w:val="22"/>
        </w:rPr>
        <w:t>Test a fee whose termId is absent, specific, pushed, or fetched through assignment history.</w:t>
      </w:r>
    </w:p>
    <w:p>
      <w:pPr>
        <w:spacing w:before="60" w:after="100"/>
      </w:pPr>
      <w:r>
        <w:rPr>
          <w:rFonts w:ascii="Arial" w:hAnsi="Arial" w:eastAsia="Arial"/>
          <w:i/>
          <w:color w:val="5B6472"/>
          <w:sz w:val="17"/>
        </w:rPr>
        <w:t>Code evidence: usePupilFees.ts lines 87-124; FeeStructuresService.getFeeStructuresApplicableToYear.</w:t>
      </w:r>
    </w:p>
    <w:p>
      <w:pPr>
        <w:pStyle w:val="Heading2"/>
        <w:keepNext/>
      </w:pPr>
      <w:r>
        <w:t>5. Uniform definitions are fetched as all, active, and filtered datasets</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avoidable read cost</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shared ['uniforms'] cache already contains all uniform definitions. The page additionally calls useActiveUniforms and useUniformsByFilter. Both service methods query active uniforms, and the filtered method performs gender, class, and section filtering in the browser after reading them.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 female boarding pupil in Primary 3 opens the page. The app already has all uniforms. It nevertheless reads active uniforms once for fallback and again for filtering, then filters the second result in JavaScript.</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tracking modal shows the expected eligible uniforms. The user does not see that the same active documents were requested twice.</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Derive activeUniforms and eligibleUniforms with useMemo from cached allUniforms. Preserve the exact existing gender, classType, classIds, sectionType, section, and fallback rules.</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Removes two uniform queries per stale/cold page mount and guarantees that the card and modal use the same uniform definitions.</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Low. The filtering logic is already client-side; it is being moved, not redesigned.</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Snapshot-test male, female, all-gender, day, boarding, all-class, and specific-class rules.</w:t>
      </w:r>
    </w:p>
    <w:p>
      <w:pPr>
        <w:pStyle w:val="ListBullet"/>
        <w:spacing w:after="120" w:line="264" w:lineRule="auto"/>
        <w:ind w:left="720" w:hanging="360"/>
      </w:pPr>
      <w:r>
        <w:rPr>
          <w:rFonts w:ascii="Arial" w:hAnsi="Arial" w:eastAsia="Arial"/>
          <w:color w:val="111827"/>
          <w:sz w:val="22"/>
        </w:rPr>
        <w:t>Keep inactive historical uniforms available for old tracking records.</w:t>
      </w:r>
    </w:p>
    <w:p>
      <w:pPr>
        <w:pStyle w:val="ListBullet"/>
        <w:spacing w:after="120" w:line="264" w:lineRule="auto"/>
        <w:ind w:left="720" w:hanging="360"/>
      </w:pPr>
      <w:r>
        <w:rPr>
          <w:rFonts w:ascii="Arial" w:hAnsi="Arial" w:eastAsia="Arial"/>
          <w:color w:val="111827"/>
          <w:sz w:val="22"/>
        </w:rPr>
        <w:t>Confirm new or edited uniforms patch the shared cache before closing their management form.</w:t>
      </w:r>
    </w:p>
    <w:p>
      <w:pPr>
        <w:spacing w:before="60" w:after="100"/>
      </w:pPr>
      <w:r>
        <w:rPr>
          <w:rFonts w:ascii="Arial" w:hAnsi="Arial" w:eastAsia="Arial"/>
          <w:i/>
          <w:color w:val="5B6472"/>
          <w:sz w:val="17"/>
        </w:rPr>
        <w:t>Code evidence: PupilFeesCollectionClient.tsx lines 297-320; use-uniforms.ts lines 7-53; uniforms.service.ts lines 48-104.</w:t>
      </w:r>
    </w:p>
    <w:p>
      <w:pPr>
        <w:pStyle w:val="Heading2"/>
        <w:keepNext/>
      </w:pPr>
      <w:r>
        <w:t>6. Payment signatures use one query per visible payment</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variable read amplification</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Every displayed payment mounts PaymentSignatureDisplay, which calls useRecordSignatures(recordType, paymentId). The mobile and desktop layouts both mount the component, although React Query normally deduplicates the identical payment key.</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 term has eight fee cards and each card shows its two latest payments. Up to 16 payment IDs can each generate a separate audit-trail query. If many have no signature record, Firestore still processes each empty query independently.</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user sees small signature labels next to payment entries. Initial page loading may feel acceptable, but many background requests occur after the fee cards render.</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Either load signatures only when the payment-history area is expanded, or batch visible payment IDs in chunks supported by Firestore and distribute the results from one parent query. A stronger long-term option is storing the latest display-safe signature summary on the payment record.</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Can remove all signature reads from the initial fee-card render and replace many queries with zero or a small number of batches.</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 Signatures are audit evidence and must never be associated with the wrong payment or hidden after a reversal.</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Key every signature strictly by payment ID.</w:t>
      </w:r>
    </w:p>
    <w:p>
      <w:pPr>
        <w:pStyle w:val="ListBullet"/>
        <w:spacing w:after="120" w:line="264" w:lineRule="auto"/>
        <w:ind w:left="720" w:hanging="360"/>
      </w:pPr>
      <w:r>
        <w:rPr>
          <w:rFonts w:ascii="Arial" w:hAnsi="Arial" w:eastAsia="Arial"/>
          <w:color w:val="111827"/>
          <w:sz w:val="22"/>
        </w:rPr>
        <w:t>Test collected and reverted signatures, missing signatures, and multiple actions.</w:t>
      </w:r>
    </w:p>
    <w:p>
      <w:pPr>
        <w:pStyle w:val="ListBullet"/>
        <w:spacing w:after="120" w:line="264" w:lineRule="auto"/>
        <w:ind w:left="720" w:hanging="360"/>
      </w:pPr>
      <w:r>
        <w:rPr>
          <w:rFonts w:ascii="Arial" w:hAnsi="Arial" w:eastAsia="Arial"/>
          <w:color w:val="111827"/>
          <w:sz w:val="22"/>
        </w:rPr>
        <w:t>Keep the current visual result once the signature data is loaded.</w:t>
      </w:r>
    </w:p>
    <w:p>
      <w:pPr>
        <w:pStyle w:val="ListBullet"/>
        <w:spacing w:after="120" w:line="264" w:lineRule="auto"/>
        <w:ind w:left="720" w:hanging="360"/>
      </w:pPr>
      <w:r>
        <w:rPr>
          <w:rFonts w:ascii="Arial" w:hAnsi="Arial" w:eastAsia="Arial"/>
          <w:color w:val="111827"/>
          <w:sz w:val="22"/>
        </w:rPr>
        <w:t>Do not modify or denormalize historical audit records without a migration review.</w:t>
      </w:r>
    </w:p>
    <w:p>
      <w:pPr>
        <w:spacing w:before="60" w:after="100"/>
      </w:pPr>
      <w:r>
        <w:rPr>
          <w:rFonts w:ascii="Arial" w:hAnsi="Arial" w:eastAsia="Arial"/>
          <w:i/>
          <w:color w:val="5B6472"/>
          <w:sz w:val="17"/>
        </w:rPr>
        <w:t>Code evidence: FeeCard.tsx lines 1035-1130; PaymentSignatureDisplay.tsx line 15; use-digital-signature.ts lines 73-79.</w:t>
      </w:r>
    </w:p>
    <w:p>
      <w:pPr>
        <w:pStyle w:val="Heading2"/>
        <w:keepNext/>
      </w:pPr>
      <w:r>
        <w:t>7. Snapshot invalidations are triggered by unrelated payment actions</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unnecessary refetch cost</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Single, carry-forward, and multi-fee payment handlers invalidate pupil-snapshot queries. The shared refetch function invalidates the snapshot and uniform tracking again. Recapture paths can invalidate, refetch, and manually read the snapshot in sequence.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An administrator records an ordinary cash payment. The payment listener already receives the new payment. The handler also invalidates the historical pupil snapshot, even though a payment cannot change class, section, admission number, or date of birth.</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payment appears correctly, so the redundant snapshot read is invisible. On quota pressure or weak internet it can add delay and error noise unrelated to the successful payment.</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Replace broad invalidation bundles with mutation-specific cache updates. Payment mutations update payment state and previous-balance computation only. Snapshot mutations update the snapshot once. Uniform collection updates tracking and inventory only.</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Removes snapshot and tracking reads after normal payments and reduces the chance that a successful write is followed by an unrelated read failure.</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 Removing an invalidation is safe only after proving that no hidden calculation depended on it.</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Instrument service-call counts around every mutation before changing invalidations.</w:t>
      </w:r>
    </w:p>
    <w:p>
      <w:pPr>
        <w:pStyle w:val="ListBullet"/>
        <w:spacing w:after="120" w:line="264" w:lineRule="auto"/>
        <w:ind w:left="720" w:hanging="360"/>
      </w:pPr>
      <w:r>
        <w:rPr>
          <w:rFonts w:ascii="Arial" w:hAnsi="Arial" w:eastAsia="Arial"/>
          <w:color w:val="111827"/>
          <w:sz w:val="22"/>
        </w:rPr>
        <w:t>Assert that a payment changes totals without invoking snapshot or uniform-tracking services.</w:t>
      </w:r>
    </w:p>
    <w:p>
      <w:pPr>
        <w:pStyle w:val="ListBullet"/>
        <w:spacing w:after="120" w:line="264" w:lineRule="auto"/>
        <w:ind w:left="720" w:hanging="360"/>
      </w:pPr>
      <w:r>
        <w:rPr>
          <w:rFonts w:ascii="Arial" w:hAnsi="Arial" w:eastAsia="Arial"/>
          <w:color w:val="111827"/>
          <w:sz w:val="22"/>
        </w:rPr>
        <w:t>Assert that recapture invokes one authoritative snapshot refresh.</w:t>
      </w:r>
    </w:p>
    <w:p>
      <w:pPr>
        <w:pStyle w:val="ListBullet"/>
        <w:spacing w:after="120" w:line="264" w:lineRule="auto"/>
        <w:ind w:left="720" w:hanging="360"/>
      </w:pPr>
      <w:r>
        <w:rPr>
          <w:rFonts w:ascii="Arial" w:hAnsi="Arial" w:eastAsia="Arial"/>
          <w:color w:val="111827"/>
          <w:sz w:val="22"/>
        </w:rPr>
        <w:t>Keep a temporary force-refresh diagnostic action for administrators during rollout.</w:t>
      </w:r>
    </w:p>
    <w:p>
      <w:pPr>
        <w:spacing w:before="60" w:after="100"/>
      </w:pPr>
      <w:r>
        <w:rPr>
          <w:rFonts w:ascii="Arial" w:hAnsi="Arial" w:eastAsia="Arial"/>
          <w:i/>
          <w:color w:val="5B6472"/>
          <w:sz w:val="17"/>
        </w:rPr>
        <w:t>Code evidence: PupilFeesCollectionClient.tsx lines 885-914, 1074-1080, 1194-1200, 1386-1395; usePupilFees.ts lines 453-461.</w:t>
      </w:r>
    </w:p>
    <w:p>
      <w:pPr>
        <w:pStyle w:val="Heading2"/>
        <w:keepNext/>
      </w:pPr>
      <w:r>
        <w:t>8. Several invalidation keys do not match active query keys</w:t>
      </w:r>
    </w:p>
    <w:p>
      <w:pPr>
        <w:spacing w:after="80" w:line="264" w:lineRule="auto"/>
      </w:pPr>
      <w:r>
        <w:rPr>
          <w:rFonts w:ascii="Arial" w:hAnsi="Arial" w:eastAsia="Arial"/>
          <w:b/>
          <w:color w:val="1F4D78"/>
          <w:sz w:val="22"/>
        </w:rPr>
        <w:t xml:space="preserve">Severity: </w:t>
      </w:r>
      <w:r>
        <w:rPr>
          <w:rFonts w:ascii="Arial" w:hAnsi="Arial" w:eastAsia="Arial"/>
          <w:color w:val="7A5A00"/>
          <w:sz w:val="22"/>
        </w:rPr>
        <w:t>High correctness and maintenance risk</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Handlers invalidate keys such as ['fee-structures'], ['pupil-payments'], ['uniform-tracking', pupilId], ['pupil-fees'], and ['pupil', pupilId]. Active hooks use different names such as ['feeStructures','list'], ['uniformTracking','pupil',pupilId], and ['pupils','detail',pupilId].</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The user presses Refresh Data after a fee structure was edited elsewhere. The action invalidates ['fee-structures'], but the active page fee queries have other keys. The toast says data was refreshed while the intended fee data may remain unchanged. At the same time, snapshot and uniform-tracking queries may reread.</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Normal mutation flows often still work because the payment listener or other cache patches update the visible data. The problem appears during manual refreshes and unusual cross-device edits.</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Create exported query-key factories and a mutation-to-cache-impact map. The Refresh action should explicitly reconcile the real shared owners and should say when data came from cache versus server.</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Prevents false refresh confirmations, eliminates dead invalidations, and makes future changes safer to reason about.</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Low-to-medium. Key normalization can accidentally leave an old consumer behind unless the migration is audited repository-wide.</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Log every active query key on the page in a development-only contract test.</w:t>
      </w:r>
    </w:p>
    <w:p>
      <w:pPr>
        <w:pStyle w:val="ListBullet"/>
        <w:spacing w:after="120" w:line="264" w:lineRule="auto"/>
        <w:ind w:left="720" w:hanging="360"/>
      </w:pPr>
      <w:r>
        <w:rPr>
          <w:rFonts w:ascii="Arial" w:hAnsi="Arial" w:eastAsia="Arial"/>
          <w:color w:val="111827"/>
          <w:sz w:val="22"/>
        </w:rPr>
        <w:t>Fail the contract when a handler contains an unregistered literal key.</w:t>
      </w:r>
    </w:p>
    <w:p>
      <w:pPr>
        <w:pStyle w:val="ListBullet"/>
        <w:spacing w:after="120" w:line="264" w:lineRule="auto"/>
        <w:ind w:left="720" w:hanging="360"/>
      </w:pPr>
      <w:r>
        <w:rPr>
          <w:rFonts w:ascii="Arial" w:hAnsi="Arial" w:eastAsia="Arial"/>
          <w:color w:val="111827"/>
          <w:sz w:val="22"/>
        </w:rPr>
        <w:t>Test manual refresh after editing fees, uniforms, assignments, payments, and snapshots.</w:t>
      </w:r>
    </w:p>
    <w:p>
      <w:pPr>
        <w:spacing w:before="60" w:after="100"/>
      </w:pPr>
      <w:r>
        <w:rPr>
          <w:rFonts w:ascii="Arial" w:hAnsi="Arial" w:eastAsia="Arial"/>
          <w:i/>
          <w:color w:val="5B6472"/>
          <w:sz w:val="17"/>
        </w:rPr>
        <w:t>Code evidence: usePupilFees.ts lines 453-461; PupilFeesCollectionClient.tsx lines 2481-2488 and 2531-2532.</w:t>
      </w:r>
    </w:p>
    <w:p>
      <w:pPr>
        <w:pStyle w:val="Heading2"/>
        <w:keepNext/>
      </w:pPr>
      <w:r>
        <w:t>9. SchoolPay opens duplicate payment and dismissal reads</w:t>
      </w:r>
    </w:p>
    <w:p>
      <w:pPr>
        <w:spacing w:after="80" w:line="264" w:lineRule="auto"/>
      </w:pPr>
      <w:r>
        <w:rPr>
          <w:rFonts w:ascii="Arial" w:hAnsi="Arial" w:eastAsia="Arial"/>
          <w:b/>
          <w:color w:val="1F4D78"/>
          <w:sz w:val="22"/>
        </w:rPr>
        <w:t xml:space="preserve">Severity: </w:t>
      </w:r>
      <w:r>
        <w:rPr>
          <w:rFonts w:ascii="Arial" w:hAnsi="Arial" w:eastAsia="Arial"/>
          <w:color w:val="1F4D78"/>
          <w:sz w:val="22"/>
        </w:rPr>
        <w:t>Medium avoidable read cost</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parent page already holds all pupil payments in a live listener and passes them to SchoolPayPaymentsModal. The modal ignores that source for display and starts a second listener filtered by source=schoolpay. Separately, each SchoolPayPaymentBanner mount directly queries dismissed-banner records.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The page is already showing a new SchoolPay payment from its main listener. The administrator opens the SchoolPay modal, which queries the same pupil's SchoolPay documents again. Switching term tabs remounts the banner and can reread dismissal records.</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modal appears live and correct. The extra listener is redundant because its data is a subset of the already-live parent array.</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Filter the passed allPayments array inside the modal. Move dismissed-banner state to a cached pupil-scoped hook, and skip its read when there are no SchoolPay transactions to display.</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Removes the modal's extra payment listener and avoids banner reads for pupils without SchoolPay activity.</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Low. The parent listener already contains the required documents.</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Compare grouped transaction cards from old livePayments and new allPayments side by side.</w:t>
      </w:r>
    </w:p>
    <w:p>
      <w:pPr>
        <w:pStyle w:val="ListBullet"/>
        <w:spacing w:after="120" w:line="264" w:lineRule="auto"/>
        <w:ind w:left="720" w:hanging="360"/>
      </w:pPr>
      <w:r>
        <w:rPr>
          <w:rFonts w:ascii="Arial" w:hAnsi="Arial" w:eastAsia="Arial"/>
          <w:color w:val="111827"/>
          <w:sz w:val="22"/>
        </w:rPr>
        <w:t>Test redistribution updates, unmatched payments, reversals, pushed terms, and receipts split across terms.</w:t>
      </w:r>
    </w:p>
    <w:p>
      <w:pPr>
        <w:pStyle w:val="ListBullet"/>
        <w:spacing w:after="120" w:line="264" w:lineRule="auto"/>
        <w:ind w:left="720" w:hanging="360"/>
      </w:pPr>
      <w:r>
        <w:rPr>
          <w:rFonts w:ascii="Arial" w:hAnsi="Arial" w:eastAsia="Arial"/>
          <w:color w:val="111827"/>
          <w:sz w:val="22"/>
        </w:rPr>
        <w:t>Confirm dismissal remains global across users after caching.</w:t>
      </w:r>
    </w:p>
    <w:p>
      <w:pPr>
        <w:spacing w:before="60" w:after="100"/>
      </w:pPr>
      <w:r>
        <w:rPr>
          <w:rFonts w:ascii="Arial" w:hAnsi="Arial" w:eastAsia="Arial"/>
          <w:i/>
          <w:color w:val="5B6472"/>
          <w:sz w:val="17"/>
        </w:rPr>
        <w:t>Code evidence: SchoolPayPaymentsModal.tsx lines 47-79; SchoolPayPaymentBanner.tsx lines 63-88.</w:t>
      </w:r>
    </w:p>
    <w:p>
      <w:pPr>
        <w:pStyle w:val="Heading2"/>
        <w:keepNext/>
      </w:pPr>
      <w:r>
        <w:t>10. Closed modals and every fee card subscribe to shared datasets</w:t>
      </w:r>
    </w:p>
    <w:p>
      <w:pPr>
        <w:spacing w:after="80" w:line="264" w:lineRule="auto"/>
      </w:pPr>
      <w:r>
        <w:rPr>
          <w:rFonts w:ascii="Arial" w:hAnsi="Arial" w:eastAsia="Arial"/>
          <w:b/>
          <w:color w:val="1F4D78"/>
          <w:sz w:val="22"/>
        </w:rPr>
        <w:t xml:space="preserve">Severity: </w:t>
      </w:r>
      <w:r>
        <w:rPr>
          <w:rFonts w:ascii="Arial" w:hAnsi="Arial" w:eastAsia="Arial"/>
          <w:color w:val="1F4D78"/>
          <w:sz w:val="22"/>
        </w:rPr>
        <w:t>Medium render overhead; one avoidable inventory read</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UniformTrackingModal remains mounted whenever a pupil exists and calls useUniformInventory even while closed. Every FeeCard also calls useUniforms, useUniformInventory, and useSchoolSettings regardless of whether the fee is a uniform.</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 pupil has only tuition and meals fees. The administrator never opens uniform tracking. The hidden modal still causes the uniform inventory query to mount. Ten fee cards also create ten observers for the same uniform, inventory, and settings keys.</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React Query normally deduplicates identical network calls, so this is mostly invisible. It increases subscriptions, rerenders, memory use, and guarantees an inventory read even when no uniform workflow is used.</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Conditionally mount data-heavy modals only when open. Lift shared uniforms, inventory, and school settings to the page, or isolate uniform-only hooks inside a component rendered only for uniform fees.</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Avoids the inventory read on non-uniform pages and reduces observer/rerender overhead on weak devices.</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Low-to-medium. Conditional mounting must preserve modal form initialization and cached selections.</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Open, close, and reopen each modal while checking that form state resets exactly as before.</w:t>
      </w:r>
    </w:p>
    <w:p>
      <w:pPr>
        <w:pStyle w:val="ListBullet"/>
        <w:spacing w:after="120" w:line="264" w:lineRule="auto"/>
        <w:ind w:left="720" w:hanging="360"/>
      </w:pPr>
      <w:r>
        <w:rPr>
          <w:rFonts w:ascii="Arial" w:hAnsi="Arial" w:eastAsia="Arial"/>
          <w:color w:val="111827"/>
          <w:sz w:val="22"/>
        </w:rPr>
        <w:t>Verify uniform cards still show sizes, stock status, collection history, and receipt actions.</w:t>
      </w:r>
    </w:p>
    <w:p>
      <w:pPr>
        <w:pStyle w:val="ListBullet"/>
        <w:spacing w:after="120" w:line="264" w:lineRule="auto"/>
        <w:ind w:left="720" w:hanging="360"/>
      </w:pPr>
      <w:r>
        <w:rPr>
          <w:rFonts w:ascii="Arial" w:hAnsi="Arial" w:eastAsia="Arial"/>
          <w:color w:val="111827"/>
          <w:sz w:val="22"/>
        </w:rPr>
        <w:t>Measure React Query observer count before and after.</w:t>
      </w:r>
    </w:p>
    <w:p>
      <w:pPr>
        <w:spacing w:before="60" w:after="100"/>
      </w:pPr>
      <w:r>
        <w:rPr>
          <w:rFonts w:ascii="Arial" w:hAnsi="Arial" w:eastAsia="Arial"/>
          <w:i/>
          <w:color w:val="5B6472"/>
          <w:sz w:val="17"/>
        </w:rPr>
        <w:t>Code evidence: PupilFeesCollectionClient.tsx lines 2469-2505; uniform-tracking-modal.tsx lines 63-131; FeeCard.tsx lines 89-270.</w:t>
      </w:r>
    </w:p>
    <w:p>
      <w:pPr>
        <w:pStyle w:val="Heading2"/>
        <w:keepNext/>
      </w:pPr>
      <w:r>
        <w:t>11. Previous-balance recomputation is keyed by payment count</w:t>
      </w:r>
    </w:p>
    <w:p>
      <w:pPr>
        <w:spacing w:after="80" w:line="264" w:lineRule="auto"/>
      </w:pPr>
      <w:r>
        <w:rPr>
          <w:rFonts w:ascii="Arial" w:hAnsi="Arial" w:eastAsia="Arial"/>
          <w:b/>
          <w:color w:val="1F4D78"/>
          <w:sz w:val="22"/>
        </w:rPr>
        <w:t xml:space="preserve">Severity: </w:t>
      </w:r>
      <w:r>
        <w:rPr>
          <w:rFonts w:ascii="Arial" w:hAnsi="Arial" w:eastAsia="Arial"/>
          <w:color w:val="1F4D78"/>
          <w:sz w:val="22"/>
        </w:rPr>
        <w:t>Medium stale-data risk</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The previous-balance query key includes pupilPayments.length and a component timestamp. A new payment changes the length, but an edit, redistribution, or reversal can change content without changing the document count. A live snapshot update does not always update the timestamp.</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Another device reverses one payment by changing its reverted flag. The number of payment documents remains the same. The listener updates the local payment objects, but the previous-balance query key can remain unchanged and stay fresh for its eight-minute stale window.</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current-term paid total may update from the live array while the carry-forward balance remains based on an older computation.</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Make previous balance a deterministic derived calculation from the current payment content, or increment a payment revision whenever the listener delivers document changes. Avoid creating a new cache entry for every payment count.</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Makes cross-device edits and reversals recompute immediately without any additional Firestore read.</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 Carry-forward logic is complex and requires strict before/after result comparison.</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Test new payment, amount edit, reversal, redistribution, deletion, and same-count document replacement.</w:t>
      </w:r>
    </w:p>
    <w:p>
      <w:pPr>
        <w:pStyle w:val="ListBullet"/>
        <w:spacing w:after="120" w:line="264" w:lineRule="auto"/>
        <w:ind w:left="720" w:hanging="360"/>
      </w:pPr>
      <w:r>
        <w:rPr>
          <w:rFonts w:ascii="Arial" w:hAnsi="Arial" w:eastAsia="Arial"/>
          <w:color w:val="111827"/>
          <w:sz w:val="22"/>
        </w:rPr>
        <w:t>Compare the complete feeBreakdown array, not only the total amount.</w:t>
      </w:r>
    </w:p>
    <w:p>
      <w:pPr>
        <w:pStyle w:val="ListBullet"/>
        <w:spacing w:after="120" w:line="264" w:lineRule="auto"/>
        <w:ind w:left="720" w:hanging="360"/>
      </w:pPr>
      <w:r>
        <w:rPr>
          <w:rFonts w:ascii="Arial" w:hAnsi="Arial" w:eastAsia="Arial"/>
          <w:color w:val="111827"/>
          <w:sz w:val="22"/>
        </w:rPr>
        <w:t>Use immutable inputs and a stable calculation contract.</w:t>
      </w:r>
    </w:p>
    <w:p>
      <w:pPr>
        <w:spacing w:before="60" w:after="100"/>
      </w:pPr>
      <w:r>
        <w:rPr>
          <w:rFonts w:ascii="Arial" w:hAnsi="Arial" w:eastAsia="Arial"/>
          <w:i/>
          <w:color w:val="5B6472"/>
          <w:sz w:val="17"/>
        </w:rPr>
        <w:t>Code evidence: usePupilFees.ts lines 192-220; PupilFeesCollectionClient.tsx lines 200-229.</w:t>
      </w:r>
    </w:p>
    <w:p>
      <w:pPr>
        <w:pStyle w:val="Heading2"/>
        <w:keepNext/>
      </w:pPr>
      <w:r>
        <w:t>12. Rarely changing caches are memory-only across a full reload</w:t>
      </w:r>
    </w:p>
    <w:p>
      <w:pPr>
        <w:spacing w:after="80" w:line="264" w:lineRule="auto"/>
      </w:pPr>
      <w:r>
        <w:rPr>
          <w:rFonts w:ascii="Arial" w:hAnsi="Arial" w:eastAsia="Arial"/>
          <w:b/>
          <w:color w:val="1F4D78"/>
          <w:sz w:val="22"/>
        </w:rPr>
        <w:t xml:space="preserve">Severity: </w:t>
      </w:r>
      <w:r>
        <w:rPr>
          <w:rFonts w:ascii="Arial" w:hAnsi="Arial" w:eastAsia="Arial"/>
          <w:color w:val="1F4D78"/>
          <w:sz w:val="22"/>
        </w:rPr>
        <w:t>Medium recurring read cost</w:t>
      </w:r>
    </w:p>
    <w:p>
      <w:pPr>
        <w:spacing w:after="80" w:line="264" w:lineRule="auto"/>
      </w:pPr>
      <w:r>
        <w:rPr>
          <w:rFonts w:ascii="Arial" w:hAnsi="Arial" w:eastAsia="Arial"/>
          <w:b/>
          <w:color w:val="1F4D78"/>
          <w:sz w:val="22"/>
        </w:rPr>
        <w:t xml:space="preserve">Current internal behavior: </w:t>
      </w:r>
      <w:r>
        <w:rPr>
          <w:rFonts w:ascii="Arial" w:hAnsi="Arial" w:eastAsia="Arial"/>
          <w:color w:val="111827"/>
          <w:sz w:val="22"/>
        </w:rPr>
        <w:t>React Query cache persists across client-side navigation but not a full browser reload. The global preloader checks in-memory fee and uniform keys, then calls getDocs when those keys are empty. Firestore IndexedDB improves resilience and speed, but an online getDocs reconciliation is not equivalent to a mutation-driven persistent application cache.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Illustrative live example</w:t>
            </w:r>
          </w:p>
          <w:p>
            <w:pPr>
              <w:spacing w:after="0" w:line="264" w:lineRule="auto"/>
            </w:pPr>
            <w:r>
              <w:rPr>
                <w:rFonts w:ascii="Arial" w:hAnsi="Arial" w:eastAsia="Arial"/>
                <w:color w:val="111827"/>
                <w:sz w:val="21"/>
              </w:rPr>
              <w:t>An administrator closes the browser and reopens the application the next morning. Fee structures and uniforms have not changed. The new JavaScript session has an empty React Query cache, so the preloader queries them again; the fees page can then open additional differently keyed queries.</w:t>
            </w:r>
          </w:p>
        </w:tc>
      </w:tr>
    </w:tbl>
    <w:p>
      <w:pPr>
        <w:spacing w:after="20"/>
      </w:pPr>
    </w:p>
    <w:p>
      <w:pPr>
        <w:spacing w:after="80" w:line="264" w:lineRule="auto"/>
      </w:pPr>
      <w:r>
        <w:rPr>
          <w:rFonts w:ascii="Arial" w:hAnsi="Arial" w:eastAsia="Arial"/>
          <w:b/>
          <w:color w:val="1F4D78"/>
          <w:sz w:val="22"/>
        </w:rPr>
        <w:t xml:space="preserve">What the front-end user experiences today: </w:t>
      </w:r>
      <w:r>
        <w:rPr>
          <w:rFonts w:ascii="Arial" w:hAnsi="Arial" w:eastAsia="Arial"/>
          <w:color w:val="111827"/>
          <w:sz w:val="22"/>
        </w:rPr>
        <w:t>The app may still load quickly from Firestore's local cache, but online server reconciliation and billed reads can recur after reloads.</w:t>
      </w:r>
    </w:p>
    <w:p>
      <w:pPr>
        <w:spacing w:after="80" w:line="264" w:lineRule="auto"/>
      </w:pPr>
      <w:r>
        <w:rPr>
          <w:rFonts w:ascii="Arial" w:hAnsi="Arial" w:eastAsia="Arial"/>
          <w:b/>
          <w:color w:val="1F4D78"/>
          <w:sz w:val="22"/>
        </w:rPr>
        <w:t xml:space="preserve">Proposed improvement: </w:t>
      </w:r>
      <w:r>
        <w:rPr>
          <w:rFonts w:ascii="Arial" w:hAnsi="Arial" w:eastAsia="Arial"/>
          <w:color w:val="111827"/>
          <w:sz w:val="22"/>
        </w:rPr>
        <w:t>Use the same versioned persistent-cache pattern as the stable class, staff, academic-year, timetable, and calendar owners: hydrate immediately, refresh only after a mutation/change signal or a deliberately long safety window.</w:t>
      </w:r>
    </w:p>
    <w:p>
      <w:pPr>
        <w:spacing w:after="80" w:line="264" w:lineRule="auto"/>
      </w:pPr>
      <w:r>
        <w:rPr>
          <w:rFonts w:ascii="Arial" w:hAnsi="Arial" w:eastAsia="Arial"/>
          <w:b/>
          <w:color w:val="1F4D78"/>
          <w:sz w:val="22"/>
        </w:rPr>
        <w:t xml:space="preserve">Expected benefit: </w:t>
      </w:r>
      <w:r>
        <w:rPr>
          <w:rFonts w:ascii="Arial" w:hAnsi="Arial" w:eastAsia="Arial"/>
          <w:color w:val="166534"/>
          <w:sz w:val="22"/>
        </w:rPr>
        <w:t>Reduces repeated daily reads for datasets that may remain unchanged for months.</w:t>
      </w:r>
    </w:p>
    <w:p>
      <w:pPr>
        <w:spacing w:after="80" w:line="264" w:lineRule="auto"/>
      </w:pPr>
      <w:r>
        <w:rPr>
          <w:rFonts w:ascii="Arial" w:hAnsi="Arial" w:eastAsia="Arial"/>
          <w:b/>
          <w:color w:val="1F4D78"/>
          <w:sz w:val="22"/>
        </w:rPr>
        <w:t xml:space="preserve">Modification risk: </w:t>
      </w:r>
      <w:r>
        <w:rPr>
          <w:rFonts w:ascii="Arial" w:hAnsi="Arial" w:eastAsia="Arial"/>
          <w:color w:val="7A5A00"/>
          <w:sz w:val="22"/>
        </w:rPr>
        <w:t>Medium. Cross-device fee or uniform edits must still reach other devices within an agreed freshness window.</w:t>
      </w:r>
    </w:p>
    <w:p>
      <w:pPr>
        <w:spacing w:before="0" w:after="120" w:line="264" w:lineRule="auto"/>
      </w:pPr>
      <w:r>
        <w:rPr>
          <w:rFonts w:ascii="Arial" w:hAnsi="Arial" w:eastAsia="Arial"/>
          <w:color w:val="111827"/>
          <w:sz w:val="22"/>
        </w:rPr>
        <w:t>Required safeguards:</w:t>
      </w:r>
    </w:p>
    <w:p>
      <w:pPr>
        <w:pStyle w:val="ListBullet"/>
        <w:spacing w:after="120" w:line="264" w:lineRule="auto"/>
        <w:ind w:left="720" w:hanging="360"/>
      </w:pPr>
      <w:r>
        <w:rPr>
          <w:rFonts w:ascii="Arial" w:hAnsi="Arial" w:eastAsia="Arial"/>
          <w:color w:val="111827"/>
          <w:sz w:val="22"/>
        </w:rPr>
        <w:t>Define the maximum acceptable cross-device delay for fee-structure and uniform-definition edits.</w:t>
      </w:r>
    </w:p>
    <w:p>
      <w:pPr>
        <w:pStyle w:val="ListBullet"/>
        <w:spacing w:after="120" w:line="264" w:lineRule="auto"/>
        <w:ind w:left="720" w:hanging="360"/>
      </w:pPr>
      <w:r>
        <w:rPr>
          <w:rFonts w:ascii="Arial" w:hAnsi="Arial" w:eastAsia="Arial"/>
          <w:color w:val="111827"/>
          <w:sz w:val="22"/>
        </w:rPr>
        <w:t>Publish cache changes immediately on the editing device.</w:t>
      </w:r>
    </w:p>
    <w:p>
      <w:pPr>
        <w:pStyle w:val="ListBullet"/>
        <w:spacing w:after="120" w:line="264" w:lineRule="auto"/>
        <w:ind w:left="720" w:hanging="360"/>
      </w:pPr>
      <w:r>
        <w:rPr>
          <w:rFonts w:ascii="Arial" w:hAnsi="Arial" w:eastAsia="Arial"/>
          <w:color w:val="111827"/>
          <w:sz w:val="22"/>
        </w:rPr>
        <w:t>Use a lightweight version/change signal or bounded safety refresh for other devices.</w:t>
      </w:r>
    </w:p>
    <w:p>
      <w:pPr>
        <w:pStyle w:val="ListBullet"/>
        <w:spacing w:after="120" w:line="264" w:lineRule="auto"/>
        <w:ind w:left="720" w:hanging="360"/>
      </w:pPr>
      <w:r>
        <w:rPr>
          <w:rFonts w:ascii="Arial" w:hAnsi="Arial" w:eastAsia="Arial"/>
          <w:color w:val="111827"/>
          <w:sz w:val="22"/>
        </w:rPr>
        <w:t>Retain an administrator force-refresh path with visible last-synced information.</w:t>
      </w:r>
    </w:p>
    <w:p>
      <w:pPr>
        <w:spacing w:before="60" w:after="100"/>
      </w:pPr>
      <w:r>
        <w:rPr>
          <w:rFonts w:ascii="Arial" w:hAnsi="Arial" w:eastAsia="Arial"/>
          <w:i/>
          <w:color w:val="5B6472"/>
          <w:sz w:val="17"/>
        </w:rPr>
        <w:t>Code evidence: query-provider.tsx lines 11-49; global-data-preloader.tsx lines 371-414.</w:t>
      </w:r>
    </w:p>
    <w:p>
      <w:r>
        <w:br w:type="page"/>
      </w:r>
    </w:p>
    <w:p>
      <w:pPr>
        <w:pStyle w:val="Heading1"/>
      </w:pPr>
      <w:r>
        <w:t>4. Risk versus value</w:t>
      </w:r>
    </w:p>
    <w:p>
      <w:pPr>
        <w:spacing w:before="0" w:after="120" w:line="264" w:lineRule="auto"/>
      </w:pPr>
      <w:r>
        <w:rPr>
          <w:rFonts w:ascii="Arial" w:hAnsi="Arial" w:eastAsia="Arial"/>
          <w:color w:val="111827"/>
          <w:sz w:val="22"/>
        </w:rPr>
        <w:t>Because users already trust this page, the implementation should prioritize changes that remove duplicated sources without changing any calculation. Changes that alter failure behavior or historical-term gating have greater safety value but require more controlled rollout.</w:t>
      </w:r>
    </w:p>
    <w:tbl>
      <w:tblPr>
        <w:tblStyle w:val="TableGrid"/>
        <w:tblW w:type="dxa" w:w="9360"/>
        <w:tblLayout w:type="fixed"/>
        <w:tblLook w:firstColumn="1" w:firstRow="1" w:lastColumn="0" w:lastRow="0" w:noHBand="0" w:noVBand="1" w:val="04A0"/>
        <w:jc w:val="left"/>
        <w:tblInd w:w="120" w:type="dxa"/>
      </w:tblPr>
      <w:tblGrid>
        <w:gridCol w:w="2600"/>
        <w:gridCol w:w="2150"/>
        <w:gridCol w:w="1900"/>
        <w:gridCol w:w="2710"/>
      </w:tblGrid>
      <w:tr>
        <w:trPr>
          <w:tblHeader w:val="true"/>
        </w:trP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Change</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Value</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Regression risk</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Recommended timing</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Derive active and eligible uniforms from allUniforms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High read reduction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First</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Remove SchoolPay modal's second listener</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Moderate read reduction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First</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Skip/cache dismissed-banner reads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Moderate read reduction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First</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Conditionally mount uniform inventory/modal hooks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Moderate performance gain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Low-medium</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First</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Centralize query-key factories and delete dead invalidations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High reliability gain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Low-medium</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First, with contracts</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Consolidate fee structures into one owner</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Very high read and consistency gain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Medium</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Second</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Lazy/batch payment signatures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Potentially very high read reduction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Medium</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Second</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Consolidate snapshots and remove payment invalidations</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High read and correctness gain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Medium-high</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Third</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Block ended-term calculations until snapshot is trustworthy</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Critical safety gain</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High</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Separate canary</w:t>
            </w:r>
          </w:p>
        </w:tc>
      </w:tr>
      <w:tr>
        <w:tc>
          <w:tcPr>
            <w:tcW w:type="dxa" w:w="26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Change the primary payment listener</w:t>
            </w:r>
          </w:p>
        </w:tc>
        <w:tc>
          <w:tcPr>
            <w:tcW w:type="dxa" w:w="21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Low benefit relative to risk</w:t>
            </w:r>
          </w:p>
        </w:tc>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High</w:t>
            </w:r>
          </w:p>
        </w:tc>
        <w:tc>
          <w:tcPr>
            <w:tcW w:type="dxa" w:w="271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Do not change now</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ECFDF5"/>
          </w:tcPr>
          <w:p>
            <w:pPr>
              <w:spacing w:after="60"/>
            </w:pPr>
            <w:r>
              <w:rPr>
                <w:rFonts w:ascii="Arial" w:hAnsi="Arial" w:eastAsia="Arial"/>
                <w:b/>
                <w:color w:val="166534"/>
                <w:sz w:val="22"/>
              </w:rPr>
              <w:t>Worth-it decision</w:t>
            </w:r>
          </w:p>
          <w:p>
            <w:pPr>
              <w:spacing w:after="0" w:line="264" w:lineRule="auto"/>
            </w:pPr>
            <w:r>
              <w:rPr>
                <w:rFonts w:ascii="Arial" w:hAnsi="Arial" w:eastAsia="Arial"/>
                <w:color w:val="111827"/>
                <w:sz w:val="21"/>
              </w:rPr>
              <w:t>Yes: the low- and medium-risk internal consolidation is worth implementing. No: replacing the whole usePupilFees flow or removing the primary live payment listener is not justified by the current evidence.</w:t>
            </w:r>
          </w:p>
        </w:tc>
      </w:tr>
    </w:tbl>
    <w:p>
      <w:pPr>
        <w:spacing w:after="20"/>
      </w:pPr>
    </w:p>
    <w:p>
      <w:pPr>
        <w:pStyle w:val="Heading2"/>
      </w:pPr>
      <w:r>
        <w:t>What improvement should feel like to the user</w:t>
      </w:r>
    </w:p>
    <w:p>
      <w:pPr>
        <w:pStyle w:val="ListBullet"/>
        <w:spacing w:after="120" w:line="264" w:lineRule="auto"/>
        <w:ind w:left="720" w:hanging="360"/>
      </w:pPr>
      <w:r>
        <w:rPr>
          <w:rFonts w:ascii="Arial" w:hAnsi="Arial" w:eastAsia="Arial"/>
          <w:color w:val="111827"/>
          <w:sz w:val="22"/>
        </w:rPr>
        <w:t>The page opens with the same pupil, year, term, fee order, totals, balances, and actions.</w:t>
      </w:r>
    </w:p>
    <w:p>
      <w:pPr>
        <w:pStyle w:val="ListBullet"/>
        <w:spacing w:after="120" w:line="264" w:lineRule="auto"/>
        <w:ind w:left="720" w:hanging="360"/>
      </w:pPr>
      <w:r>
        <w:rPr>
          <w:rFonts w:ascii="Arial" w:hAnsi="Arial" w:eastAsia="Arial"/>
          <w:color w:val="111827"/>
          <w:sz w:val="22"/>
        </w:rPr>
        <w:t>Term switching becomes more consistently instant because it is memory-only.</w:t>
      </w:r>
    </w:p>
    <w:p>
      <w:pPr>
        <w:pStyle w:val="ListBullet"/>
        <w:spacing w:after="120" w:line="264" w:lineRule="auto"/>
        <w:ind w:left="720" w:hanging="360"/>
      </w:pPr>
      <w:r>
        <w:rPr>
          <w:rFonts w:ascii="Arial" w:hAnsi="Arial" w:eastAsia="Arial"/>
          <w:color w:val="111827"/>
          <w:sz w:val="22"/>
        </w:rPr>
        <w:t>Opening SchoolPay and uniform modals produces less background loading.</w:t>
      </w:r>
    </w:p>
    <w:p>
      <w:pPr>
        <w:pStyle w:val="ListBullet"/>
        <w:spacing w:after="120" w:line="264" w:lineRule="auto"/>
        <w:ind w:left="720" w:hanging="360"/>
      </w:pPr>
      <w:r>
        <w:rPr>
          <w:rFonts w:ascii="Arial" w:hAnsi="Arial" w:eastAsia="Arial"/>
          <w:color w:val="111827"/>
          <w:sz w:val="22"/>
        </w:rPr>
        <w:t>Weak-network failures are clearer and safer rather than silently looking complete.</w:t>
      </w:r>
    </w:p>
    <w:p>
      <w:pPr>
        <w:pStyle w:val="ListBullet"/>
        <w:spacing w:after="120" w:line="264" w:lineRule="auto"/>
        <w:ind w:left="720" w:hanging="360"/>
      </w:pPr>
      <w:r>
        <w:rPr>
          <w:rFonts w:ascii="Arial" w:hAnsi="Arial" w:eastAsia="Arial"/>
          <w:color w:val="111827"/>
          <w:sz w:val="22"/>
        </w:rPr>
        <w:t>Ended historical terms may intentionally wait for verified snapshot data instead of briefly showing potentially incorrect fees.</w:t>
      </w:r>
    </w:p>
    <w:p>
      <w:pPr>
        <w:pStyle w:val="ListBullet"/>
        <w:spacing w:after="120" w:line="264" w:lineRule="auto"/>
        <w:ind w:left="720" w:hanging="360"/>
      </w:pPr>
      <w:r>
        <w:rPr>
          <w:rFonts w:ascii="Arial" w:hAnsi="Arial" w:eastAsia="Arial"/>
          <w:color w:val="111827"/>
          <w:sz w:val="22"/>
        </w:rPr>
        <w:t>No normal payment workflow should gain an extra confirmation step or lose immediate visual feedback.</w:t>
      </w:r>
    </w:p>
    <w:p>
      <w:r>
        <w:br w:type="page"/>
      </w:r>
    </w:p>
    <w:p>
      <w:pPr>
        <w:pStyle w:val="Heading1"/>
      </w:pPr>
      <w:r>
        <w:t>5. Recommended staged implementation</w:t>
      </w:r>
    </w:p>
    <w:p>
      <w:pPr>
        <w:pStyle w:val="Heading2"/>
      </w:pPr>
      <w:r>
        <w:t>Stage 0 - Baseline without behavior change</w:t>
      </w:r>
    </w:p>
    <w:p>
      <w:pPr>
        <w:pStyle w:val="ListNumber"/>
        <w:spacing w:after="120" w:line="264" w:lineRule="auto"/>
        <w:ind w:left="720" w:hanging="360"/>
      </w:pPr>
      <w:r>
        <w:rPr>
          <w:rFonts w:ascii="Arial" w:hAnsi="Arial" w:eastAsia="Arial"/>
          <w:color w:val="111827"/>
          <w:sz w:val="22"/>
        </w:rPr>
        <w:t>Add development-only counters around FeeStructuresService, UniformsService, PupilSnapshotsService, signature queries, uniform tracking, and payment listeners.</w:t>
      </w:r>
    </w:p>
    <w:p>
      <w:pPr>
        <w:pStyle w:val="ListNumber"/>
        <w:spacing w:after="120" w:line="264" w:lineRule="auto"/>
        <w:ind w:left="720" w:hanging="360"/>
      </w:pPr>
      <w:r>
        <w:rPr>
          <w:rFonts w:ascii="Arial" w:hAnsi="Arial" w:eastAsia="Arial"/>
          <w:color w:val="111827"/>
          <w:sz w:val="22"/>
        </w:rPr>
        <w:t>Record query calls for: first open, client-side return, full reload, term switch, single payment, multi-payment, reversal, assignment edit, uniform collection, SchoolPay modal, and snapshot recapture.</w:t>
      </w:r>
    </w:p>
    <w:p>
      <w:pPr>
        <w:pStyle w:val="ListNumber"/>
        <w:spacing w:after="120" w:line="264" w:lineRule="auto"/>
        <w:ind w:left="720" w:hanging="360"/>
      </w:pPr>
      <w:r>
        <w:rPr>
          <w:rFonts w:ascii="Arial" w:hAnsi="Arial" w:eastAsia="Arial"/>
          <w:color w:val="111827"/>
          <w:sz w:val="22"/>
        </w:rPr>
        <w:t>Capture golden JSON results for fee IDs, amounts, paid values, balances, discounts, and carry-forward breakdowns.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FFBEB"/>
          </w:tcPr>
          <w:p>
            <w:pPr>
              <w:spacing w:after="60"/>
            </w:pPr>
            <w:r>
              <w:rPr>
                <w:rFonts w:ascii="Arial" w:hAnsi="Arial" w:eastAsia="Arial"/>
                <w:b/>
                <w:color w:val="7A5A00"/>
                <w:sz w:val="22"/>
              </w:rPr>
              <w:t>Go/no-go gate</w:t>
            </w:r>
          </w:p>
          <w:p>
            <w:pPr>
              <w:spacing w:after="0" w:line="264" w:lineRule="auto"/>
            </w:pPr>
            <w:r>
              <w:rPr>
                <w:rFonts w:ascii="Arial" w:hAnsi="Arial" w:eastAsia="Arial"/>
                <w:color w:val="111827"/>
                <w:sz w:val="21"/>
              </w:rPr>
              <w:t>Do not modify ownership until the current read counts and fee-result fixtures are captured.</w:t>
            </w:r>
          </w:p>
        </w:tc>
      </w:tr>
    </w:tbl>
    <w:p>
      <w:pPr>
        <w:spacing w:after="20"/>
      </w:pPr>
    </w:p>
    <w:p>
      <w:pPr>
        <w:pStyle w:val="Heading2"/>
      </w:pPr>
      <w:r>
        <w:t>Stage 1 - Low-risk read removal</w:t>
      </w:r>
    </w:p>
    <w:p>
      <w:pPr>
        <w:pStyle w:val="ListNumber"/>
        <w:spacing w:after="120" w:line="264" w:lineRule="auto"/>
        <w:ind w:left="720" w:hanging="360"/>
      </w:pPr>
      <w:r>
        <w:rPr>
          <w:rFonts w:ascii="Arial" w:hAnsi="Arial" w:eastAsia="Arial"/>
          <w:color w:val="111827"/>
          <w:sz w:val="22"/>
        </w:rPr>
        <w:t>Derive active and eligible uniforms from allUniforms.</w:t>
      </w:r>
    </w:p>
    <w:p>
      <w:pPr>
        <w:pStyle w:val="ListNumber"/>
        <w:spacing w:after="120" w:line="264" w:lineRule="auto"/>
        <w:ind w:left="720" w:hanging="360"/>
      </w:pPr>
      <w:r>
        <w:rPr>
          <w:rFonts w:ascii="Arial" w:hAnsi="Arial" w:eastAsia="Arial"/>
          <w:color w:val="111827"/>
          <w:sz w:val="22"/>
        </w:rPr>
        <w:t>Use parent allPayments in SchoolPayPaymentsModal and remove its second listener.</w:t>
      </w:r>
    </w:p>
    <w:p>
      <w:pPr>
        <w:pStyle w:val="ListNumber"/>
        <w:spacing w:after="120" w:line="264" w:lineRule="auto"/>
        <w:ind w:left="720" w:hanging="360"/>
      </w:pPr>
      <w:r>
        <w:rPr>
          <w:rFonts w:ascii="Arial" w:hAnsi="Arial" w:eastAsia="Arial"/>
          <w:color w:val="111827"/>
          <w:sz w:val="22"/>
        </w:rPr>
        <w:t>Skip the dismissed-banner query when there are no SchoolPay transactions; cache it per pupil otherwise.</w:t>
      </w:r>
    </w:p>
    <w:p>
      <w:pPr>
        <w:pStyle w:val="ListNumber"/>
        <w:spacing w:after="120" w:line="264" w:lineRule="auto"/>
        <w:ind w:left="720" w:hanging="360"/>
      </w:pPr>
      <w:r>
        <w:rPr>
          <w:rFonts w:ascii="Arial" w:hAnsi="Arial" w:eastAsia="Arial"/>
          <w:color w:val="111827"/>
          <w:sz w:val="22"/>
        </w:rPr>
        <w:t>Conditionally mount UniformTrackingModal and other data-heavy modal contents.</w:t>
      </w:r>
    </w:p>
    <w:p>
      <w:pPr>
        <w:pStyle w:val="ListNumber"/>
        <w:spacing w:after="120" w:line="264" w:lineRule="auto"/>
        <w:ind w:left="720" w:hanging="360"/>
      </w:pPr>
      <w:r>
        <w:rPr>
          <w:rFonts w:ascii="Arial" w:hAnsi="Arial" w:eastAsia="Arial"/>
          <w:color w:val="111827"/>
          <w:sz w:val="22"/>
        </w:rPr>
        <w:t>Lift repeated uniforms, inventory, and school-settings observers out of ordinary FeeCards.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ECFDF5"/>
          </w:tcPr>
          <w:p>
            <w:pPr>
              <w:spacing w:after="60"/>
            </w:pPr>
            <w:r>
              <w:rPr>
                <w:rFonts w:ascii="Arial" w:hAnsi="Arial" w:eastAsia="Arial"/>
                <w:b/>
                <w:color w:val="166534"/>
                <w:sz w:val="22"/>
              </w:rPr>
              <w:t>Expected visible behavior</w:t>
            </w:r>
          </w:p>
          <w:p>
            <w:pPr>
              <w:spacing w:after="0" w:line="264" w:lineRule="auto"/>
            </w:pPr>
            <w:r>
              <w:rPr>
                <w:rFonts w:ascii="Arial" w:hAnsi="Arial" w:eastAsia="Arial"/>
                <w:color w:val="111827"/>
                <w:sz w:val="21"/>
              </w:rPr>
              <w:t>No visual or calculation change. Any difference is a regression.</w:t>
            </w:r>
          </w:p>
        </w:tc>
      </w:tr>
    </w:tbl>
    <w:p>
      <w:pPr>
        <w:spacing w:after="20"/>
      </w:pPr>
    </w:p>
    <w:p>
      <w:pPr>
        <w:pStyle w:val="Heading2"/>
      </w:pPr>
      <w:r>
        <w:t>Stage 2 - Query-key and mutation precision</w:t>
      </w:r>
    </w:p>
    <w:p>
      <w:pPr>
        <w:pStyle w:val="ListNumber"/>
        <w:spacing w:after="120" w:line="264" w:lineRule="auto"/>
        <w:ind w:left="720" w:hanging="360"/>
      </w:pPr>
      <w:r>
        <w:rPr>
          <w:rFonts w:ascii="Arial" w:hAnsi="Arial" w:eastAsia="Arial"/>
          <w:color w:val="111827"/>
          <w:sz w:val="22"/>
        </w:rPr>
        <w:t>Create one exported key registry for pupils, fees, payments, snapshots, uniforms, uniform tracking, inventory, signatures, holidays, and finance summaries.</w:t>
      </w:r>
    </w:p>
    <w:p>
      <w:pPr>
        <w:pStyle w:val="ListNumber"/>
        <w:spacing w:after="120" w:line="264" w:lineRule="auto"/>
        <w:ind w:left="720" w:hanging="360"/>
      </w:pPr>
      <w:r>
        <w:rPr>
          <w:rFonts w:ascii="Arial" w:hAnsi="Arial" w:eastAsia="Arial"/>
          <w:color w:val="111827"/>
          <w:sz w:val="22"/>
        </w:rPr>
        <w:t>Create a mutation-impact map showing exactly which cache each action changes.</w:t>
      </w:r>
    </w:p>
    <w:p>
      <w:pPr>
        <w:pStyle w:val="ListNumber"/>
        <w:spacing w:after="120" w:line="264" w:lineRule="auto"/>
        <w:ind w:left="720" w:hanging="360"/>
      </w:pPr>
      <w:r>
        <w:rPr>
          <w:rFonts w:ascii="Arial" w:hAnsi="Arial" w:eastAsia="Arial"/>
          <w:color w:val="111827"/>
          <w:sz w:val="22"/>
        </w:rPr>
        <w:t>Remove nonexistent and broad literal invalidations.</w:t>
      </w:r>
    </w:p>
    <w:p>
      <w:pPr>
        <w:pStyle w:val="ListNumber"/>
        <w:spacing w:after="120" w:line="264" w:lineRule="auto"/>
        <w:ind w:left="720" w:hanging="360"/>
      </w:pPr>
      <w:r>
        <w:rPr>
          <w:rFonts w:ascii="Arial" w:hAnsi="Arial" w:eastAsia="Arial"/>
          <w:color w:val="111827"/>
          <w:sz w:val="22"/>
        </w:rPr>
        <w:t>Ensure normal payments never invalidate fee structures, historical snapshots, uniforms, or uniform tracking.</w:t>
      </w:r>
    </w:p>
    <w:p>
      <w:pPr>
        <w:pStyle w:val="ListNumber"/>
        <w:spacing w:after="120" w:line="264" w:lineRule="auto"/>
        <w:ind w:left="720" w:hanging="360"/>
      </w:pPr>
      <w:r>
        <w:rPr>
          <w:rFonts w:ascii="Arial" w:hAnsi="Arial" w:eastAsia="Arial"/>
          <w:color w:val="111827"/>
          <w:sz w:val="22"/>
        </w:rPr>
        <w:t>Make manual Refresh reconcile the actual shared owners and report the last successful server sync.</w:t>
      </w:r>
    </w:p>
    <w:p>
      <w:pPr>
        <w:pStyle w:val="Heading2"/>
      </w:pPr>
      <w:r>
        <w:t>Stage 3 - Single fee-structure owner</w:t>
      </w:r>
    </w:p>
    <w:p>
      <w:pPr>
        <w:pStyle w:val="ListNumber"/>
        <w:spacing w:after="120" w:line="264" w:lineRule="auto"/>
        <w:ind w:left="720" w:hanging="360"/>
      </w:pPr>
      <w:r>
        <w:rPr>
          <w:rFonts w:ascii="Arial" w:hAnsi="Arial" w:eastAsia="Arial"/>
          <w:color w:val="111827"/>
          <w:sz w:val="22"/>
        </w:rPr>
        <w:t>Import the canonical cached fee hook used by the global preloader.</w:t>
      </w:r>
    </w:p>
    <w:p>
      <w:pPr>
        <w:pStyle w:val="ListNumber"/>
        <w:spacing w:after="120" w:line="264" w:lineRule="auto"/>
        <w:ind w:left="720" w:hanging="360"/>
      </w:pPr>
      <w:r>
        <w:rPr>
          <w:rFonts w:ascii="Arial" w:hAnsi="Arial" w:eastAsia="Arial"/>
          <w:color w:val="111827"/>
          <w:sz w:val="22"/>
        </w:rPr>
        <w:t>Create pure selectors for year applicability, term applicability, assignment visibility, carry-forward lookup, and names.</w:t>
      </w:r>
    </w:p>
    <w:p>
      <w:pPr>
        <w:pStyle w:val="ListNumber"/>
        <w:spacing w:after="120" w:line="264" w:lineRule="auto"/>
        <w:ind w:left="720" w:hanging="360"/>
      </w:pPr>
      <w:r>
        <w:rPr>
          <w:rFonts w:ascii="Arial" w:hAnsi="Arial" w:eastAsia="Arial"/>
          <w:color w:val="111827"/>
          <w:sz w:val="22"/>
        </w:rPr>
        <w:t>Run old and new results together and log differences without changing the UI.</w:t>
      </w:r>
    </w:p>
    <w:p>
      <w:pPr>
        <w:pStyle w:val="ListNumber"/>
        <w:spacing w:after="120" w:line="264" w:lineRule="auto"/>
        <w:ind w:left="720" w:hanging="360"/>
      </w:pPr>
      <w:r>
        <w:rPr>
          <w:rFonts w:ascii="Arial" w:hAnsi="Arial" w:eastAsia="Arial"/>
          <w:color w:val="111827"/>
          <w:sz w:val="22"/>
        </w:rPr>
        <w:t>Switch consumers only after the comparison passes across historical fixtures.</w:t>
      </w:r>
    </w:p>
    <w:p>
      <w:pPr>
        <w:pStyle w:val="ListNumber"/>
        <w:spacing w:after="120" w:line="264" w:lineRule="auto"/>
        <w:ind w:left="720" w:hanging="360"/>
      </w:pPr>
      <w:r>
        <w:rPr>
          <w:rFonts w:ascii="Arial" w:hAnsi="Arial" w:eastAsia="Arial"/>
          <w:color w:val="111827"/>
          <w:sz w:val="22"/>
        </w:rPr>
        <w:t>Remove legacy and carry-forward query families last.</w:t>
      </w:r>
    </w:p>
    <w:p>
      <w:pPr>
        <w:pStyle w:val="Heading2"/>
      </w:pPr>
      <w:r>
        <w:t>Stage 4 - Signatures and previous balance</w:t>
      </w:r>
    </w:p>
    <w:p>
      <w:pPr>
        <w:pStyle w:val="ListNumber"/>
        <w:spacing w:after="120" w:line="264" w:lineRule="auto"/>
        <w:ind w:left="720" w:hanging="360"/>
      </w:pPr>
      <w:r>
        <w:rPr>
          <w:rFonts w:ascii="Arial" w:hAnsi="Arial" w:eastAsia="Arial"/>
          <w:color w:val="111827"/>
          <w:sz w:val="22"/>
        </w:rPr>
        <w:t>Lazy-load signatures on history expansion or batch visible payment IDs.</w:t>
      </w:r>
    </w:p>
    <w:p>
      <w:pPr>
        <w:pStyle w:val="ListNumber"/>
        <w:spacing w:after="120" w:line="264" w:lineRule="auto"/>
        <w:ind w:left="720" w:hanging="360"/>
      </w:pPr>
      <w:r>
        <w:rPr>
          <w:rFonts w:ascii="Arial" w:hAnsi="Arial" w:eastAsia="Arial"/>
          <w:color w:val="111827"/>
          <w:sz w:val="22"/>
        </w:rPr>
        <w:t>Recompute previous balances from every payment snapshot change without a database refetch.</w:t>
      </w:r>
    </w:p>
    <w:p>
      <w:pPr>
        <w:pStyle w:val="ListNumber"/>
        <w:spacing w:after="120" w:line="264" w:lineRule="auto"/>
        <w:ind w:left="720" w:hanging="360"/>
      </w:pPr>
      <w:r>
        <w:rPr>
          <w:rFonts w:ascii="Arial" w:hAnsi="Arial" w:eastAsia="Arial"/>
          <w:color w:val="111827"/>
          <w:sz w:val="22"/>
        </w:rPr>
        <w:t>Keep digital-signature creation and audit records unchanged.</w:t>
      </w:r>
    </w:p>
    <w:p>
      <w:pPr>
        <w:pStyle w:val="Heading2"/>
      </w:pPr>
      <w:r>
        <w:t>Stage 5 - Snapshot and failure safety canary</w:t>
      </w:r>
    </w:p>
    <w:p>
      <w:pPr>
        <w:pStyle w:val="ListNumber"/>
        <w:spacing w:after="120" w:line="264" w:lineRule="auto"/>
        <w:ind w:left="720" w:hanging="360"/>
      </w:pPr>
      <w:r>
        <w:rPr>
          <w:rFonts w:ascii="Arial" w:hAnsi="Arial" w:eastAsia="Arial"/>
          <w:color w:val="111827"/>
          <w:sz w:val="22"/>
        </w:rPr>
        <w:t>Replace the duplicate snapshot effect/query with one owner.</w:t>
      </w:r>
    </w:p>
    <w:p>
      <w:pPr>
        <w:pStyle w:val="ListNumber"/>
        <w:spacing w:after="120" w:line="264" w:lineRule="auto"/>
        <w:ind w:left="720" w:hanging="360"/>
      </w:pPr>
      <w:r>
        <w:rPr>
          <w:rFonts w:ascii="Arial" w:hAnsi="Arial" w:eastAsia="Arial"/>
          <w:color w:val="111827"/>
          <w:sz w:val="22"/>
        </w:rPr>
        <w:t>For ended terms, gate calculations until verified snapshot data is available.</w:t>
      </w:r>
    </w:p>
    <w:p>
      <w:pPr>
        <w:pStyle w:val="ListNumber"/>
        <w:spacing w:after="120" w:line="264" w:lineRule="auto"/>
        <w:ind w:left="720" w:hanging="360"/>
      </w:pPr>
      <w:r>
        <w:rPr>
          <w:rFonts w:ascii="Arial" w:hAnsi="Arial" w:eastAsia="Arial"/>
          <w:color w:val="111827"/>
          <w:sz w:val="22"/>
        </w:rPr>
        <w:t>Preserve cached payments on listener failure and disable unsafe writes.</w:t>
      </w:r>
    </w:p>
    <w:p>
      <w:pPr>
        <w:pStyle w:val="ListNumber"/>
        <w:spacing w:after="120" w:line="264" w:lineRule="auto"/>
        <w:ind w:left="720" w:hanging="360"/>
      </w:pPr>
      <w:r>
        <w:rPr>
          <w:rFonts w:ascii="Arial" w:hAnsi="Arial" w:eastAsia="Arial"/>
          <w:color w:val="111827"/>
          <w:sz w:val="22"/>
        </w:rPr>
        <w:t>Enable for administrators first, then selected staff, then all users after monitoring.</w:t>
      </w:r>
    </w:p>
    <w:p>
      <w:r>
        <w:br w:type="page"/>
      </w:r>
    </w:p>
    <w:p>
      <w:pPr>
        <w:pStyle w:val="Heading1"/>
      </w:pPr>
      <w:r>
        <w:t>6. Regression test matrix</w:t>
      </w:r>
    </w:p>
    <w:tbl>
      <w:tblPr>
        <w:tblStyle w:val="TableGrid"/>
        <w:tblW w:type="dxa" w:w="9360"/>
        <w:tblLayout w:type="fixed"/>
        <w:tblLook w:firstColumn="1" w:firstRow="1" w:lastColumn="0" w:lastRow="0" w:noHBand="0" w:noVBand="1" w:val="04A0"/>
        <w:jc w:val="left"/>
        <w:tblInd w:w="120" w:type="dxa"/>
      </w:tblPr>
      <w:tblGrid>
        <w:gridCol w:w="1900"/>
        <w:gridCol w:w="2450"/>
        <w:gridCol w:w="2850"/>
        <w:gridCol w:w="2160"/>
      </w:tblGrid>
      <w:tr>
        <w:trPr>
          <w:tblHeader w:val="true"/>
        </w:trP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Scenario</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Must remain identical</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New safety/read assertion</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Rollback trigger</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Current active term</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Fee IDs, order, totals, actions</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private fee/uniform reads after hydration</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Any fee or total difference</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Ended term after promotion</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Historical class and fee set</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One snapshot owner; never use current class</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Any historical mismatch</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Single cash payment</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Immediate paid/balance update and signature</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snapshot or fee-structure read</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Delayed or duplicated payment</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Multi-fee payment</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All allocations and total</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duplicate refetch chain</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Missing/extra allocation</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Carry-forward payment</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Breakdown and remaining balance</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Recompute from current payment revision</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Any breakdown difference</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Payment reversal</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Reverted flag and restored balance</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Same-count edits recompute immediately</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Stale balance</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 partial collection</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Quantities, sizes, strike-through, stock</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unrelated fee/snapshot refresh</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Collection status mismatch</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SchoolPay arrival</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Appears live and groups correctly</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Only primary listener</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Delayed/missing transaction</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SchoolPay redistribution</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Same target allocations</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Parent payment source reused</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Grouped total difference</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Weak/offline network</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Last trustworthy data remains visible</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Unsafe actions disabled with clear warning</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Zero-payment false state</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Manual refresh</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Same UI after sync</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Targets actual owners once</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Success toast with stale data</w:t>
            </w:r>
          </w:p>
        </w:tc>
      </w:tr>
      <w:tr>
        <w:tc>
          <w:tcPr>
            <w:tcW w:type="dxa" w:w="19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uniform fee</w:t>
            </w:r>
          </w:p>
        </w:tc>
        <w:tc>
          <w:tcPr>
            <w:tcW w:type="dxa" w:w="24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Ordinary fees unaffected</w:t>
            </w:r>
          </w:p>
        </w:tc>
        <w:tc>
          <w:tcPr>
            <w:tcW w:type="dxa" w:w="28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No inventory query</w:t>
            </w:r>
          </w:p>
        </w:tc>
        <w:tc>
          <w:tcPr>
            <w:tcW w:type="dxa" w:w="21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Unexpected modal/card change</w:t>
            </w:r>
          </w:p>
        </w:tc>
      </w:tr>
    </w:tbl>
    <w:p>
      <w:pPr>
        <w:spacing w:after="20"/>
      </w:pPr>
    </w:p>
    <w:p>
      <w:pPr>
        <w:pStyle w:val="Heading2"/>
      </w:pPr>
      <w:r>
        <w:t>Acceptance criteria</w:t>
      </w:r>
    </w:p>
    <w:p>
      <w:pPr>
        <w:pStyle w:val="ListBullet"/>
        <w:spacing w:after="120" w:line="264" w:lineRule="auto"/>
        <w:ind w:left="720" w:hanging="360"/>
      </w:pPr>
      <w:r>
        <w:rPr>
          <w:rFonts w:ascii="Arial" w:hAnsi="Arial" w:eastAsia="Arial"/>
          <w:color w:val="111827"/>
          <w:sz w:val="22"/>
        </w:rPr>
        <w:t>Normal healthy-network screenshots and interaction steps remain unchanged.</w:t>
      </w:r>
    </w:p>
    <w:p>
      <w:pPr>
        <w:pStyle w:val="ListBullet"/>
        <w:spacing w:after="120" w:line="264" w:lineRule="auto"/>
        <w:ind w:left="720" w:hanging="360"/>
      </w:pPr>
      <w:r>
        <w:rPr>
          <w:rFonts w:ascii="Arial" w:hAnsi="Arial" w:eastAsia="Arial"/>
          <w:color w:val="111827"/>
          <w:sz w:val="22"/>
        </w:rPr>
        <w:t>Golden fee results are byte-for-byte equivalent for every fixture except explicitly approved error-state behavior.</w:t>
      </w:r>
    </w:p>
    <w:p>
      <w:pPr>
        <w:pStyle w:val="ListBullet"/>
        <w:spacing w:after="120" w:line="264" w:lineRule="auto"/>
        <w:ind w:left="720" w:hanging="360"/>
      </w:pPr>
      <w:r>
        <w:rPr>
          <w:rFonts w:ascii="Arial" w:hAnsi="Arial" w:eastAsia="Arial"/>
          <w:color w:val="111827"/>
          <w:sz w:val="22"/>
        </w:rPr>
        <w:t>No payment action invalidates pupil snapshots or fee definitions.</w:t>
      </w:r>
    </w:p>
    <w:p>
      <w:pPr>
        <w:pStyle w:val="ListBullet"/>
        <w:spacing w:after="120" w:line="264" w:lineRule="auto"/>
        <w:ind w:left="720" w:hanging="360"/>
      </w:pPr>
      <w:r>
        <w:rPr>
          <w:rFonts w:ascii="Arial" w:hAnsi="Arial" w:eastAsia="Arial"/>
          <w:color w:val="111827"/>
          <w:sz w:val="22"/>
        </w:rPr>
        <w:t>One canonical fee-definition owner and one uniform-definition owner remain.</w:t>
      </w:r>
    </w:p>
    <w:p>
      <w:pPr>
        <w:pStyle w:val="ListBullet"/>
        <w:spacing w:after="120" w:line="264" w:lineRule="auto"/>
        <w:ind w:left="720" w:hanging="360"/>
      </w:pPr>
      <w:r>
        <w:rPr>
          <w:rFonts w:ascii="Arial" w:hAnsi="Arial" w:eastAsia="Arial"/>
          <w:color w:val="111827"/>
          <w:sz w:val="22"/>
        </w:rPr>
        <w:t>Term switches perform no fee-definition Firestore read.</w:t>
      </w:r>
    </w:p>
    <w:p>
      <w:pPr>
        <w:pStyle w:val="ListBullet"/>
        <w:spacing w:after="120" w:line="264" w:lineRule="auto"/>
        <w:ind w:left="720" w:hanging="360"/>
      </w:pPr>
      <w:r>
        <w:rPr>
          <w:rFonts w:ascii="Arial" w:hAnsi="Arial" w:eastAsia="Arial"/>
          <w:color w:val="111827"/>
          <w:sz w:val="22"/>
        </w:rPr>
        <w:t>SchoolPay modal opens without a second payment listener.</w:t>
      </w:r>
    </w:p>
    <w:p>
      <w:pPr>
        <w:pStyle w:val="ListBullet"/>
        <w:spacing w:after="120" w:line="264" w:lineRule="auto"/>
        <w:ind w:left="720" w:hanging="360"/>
      </w:pPr>
      <w:r>
        <w:rPr>
          <w:rFonts w:ascii="Arial" w:hAnsi="Arial" w:eastAsia="Arial"/>
          <w:color w:val="111827"/>
          <w:sz w:val="22"/>
        </w:rPr>
        <w:t>Initial fee cards make no per-payment signature queries unless signature display is intentionally eager and batched.</w:t>
      </w:r>
    </w:p>
    <w:p>
      <w:pPr>
        <w:pStyle w:val="ListBullet"/>
        <w:spacing w:after="120" w:line="264" w:lineRule="auto"/>
        <w:ind w:left="720" w:hanging="360"/>
      </w:pPr>
      <w:r>
        <w:rPr>
          <w:rFonts w:ascii="Arial" w:hAnsi="Arial" w:eastAsia="Arial"/>
          <w:color w:val="111827"/>
          <w:sz w:val="22"/>
        </w:rPr>
        <w:t>Ended-term payment actions cannot proceed on current-class fallback data.</w:t>
      </w:r>
    </w:p>
    <w:p>
      <w:pPr>
        <w:pStyle w:val="ListBullet"/>
        <w:spacing w:after="120" w:line="264" w:lineRule="auto"/>
        <w:ind w:left="720" w:hanging="360"/>
      </w:pPr>
      <w:r>
        <w:rPr>
          <w:rFonts w:ascii="Arial" w:hAnsi="Arial" w:eastAsia="Arial"/>
          <w:color w:val="111827"/>
          <w:sz w:val="22"/>
        </w:rPr>
        <w:t>Every failed data owner exposes a user-safe error or stale state; none silently becomes an empty financial dataset.</w:t>
      </w:r>
    </w:p>
    <w:p>
      <w:pPr>
        <w:pStyle w:val="Heading2"/>
      </w:pPr>
      <w:r>
        <w:t>Rollback criteria</w:t>
      </w:r>
    </w:p>
    <w:p>
      <w:pPr>
        <w:pStyle w:val="ListBullet"/>
        <w:spacing w:after="120" w:line="264" w:lineRule="auto"/>
        <w:ind w:left="720" w:hanging="360"/>
      </w:pPr>
      <w:r>
        <w:rPr>
          <w:rFonts w:ascii="Arial" w:hAnsi="Arial" w:eastAsia="Arial"/>
          <w:color w:val="111827"/>
          <w:sz w:val="22"/>
        </w:rPr>
        <w:t>Any difference in fee IDs, amounts, discounts, paid totals, balances, or carry-forward breakdowns.</w:t>
      </w:r>
    </w:p>
    <w:p>
      <w:pPr>
        <w:pStyle w:val="ListBullet"/>
        <w:spacing w:after="120" w:line="264" w:lineRule="auto"/>
        <w:ind w:left="720" w:hanging="360"/>
      </w:pPr>
      <w:r>
        <w:rPr>
          <w:rFonts w:ascii="Arial" w:hAnsi="Arial" w:eastAsia="Arial"/>
          <w:color w:val="111827"/>
          <w:sz w:val="22"/>
        </w:rPr>
        <w:t>A payment appears twice, appears late, or disappears after navigation.</w:t>
      </w:r>
    </w:p>
    <w:p>
      <w:pPr>
        <w:pStyle w:val="ListBullet"/>
        <w:spacing w:after="120" w:line="264" w:lineRule="auto"/>
        <w:ind w:left="720" w:hanging="360"/>
      </w:pPr>
      <w:r>
        <w:rPr>
          <w:rFonts w:ascii="Arial" w:hAnsi="Arial" w:eastAsia="Arial"/>
          <w:color w:val="111827"/>
          <w:sz w:val="22"/>
        </w:rPr>
        <w:t>SchoolPay transactions group or redistribute differently.</w:t>
      </w:r>
    </w:p>
    <w:p>
      <w:pPr>
        <w:pStyle w:val="ListBullet"/>
        <w:spacing w:after="120" w:line="264" w:lineRule="auto"/>
        <w:ind w:left="720" w:hanging="360"/>
      </w:pPr>
      <w:r>
        <w:rPr>
          <w:rFonts w:ascii="Arial" w:hAnsi="Arial" w:eastAsia="Arial"/>
          <w:color w:val="111827"/>
          <w:sz w:val="22"/>
        </w:rPr>
        <w:t>Uniform collection status or stock differs from the tracking record.</w:t>
      </w:r>
    </w:p>
    <w:p>
      <w:pPr>
        <w:pStyle w:val="ListBullet"/>
        <w:spacing w:after="120" w:line="264" w:lineRule="auto"/>
        <w:ind w:left="720" w:hanging="360"/>
      </w:pPr>
      <w:r>
        <w:rPr>
          <w:rFonts w:ascii="Arial" w:hAnsi="Arial" w:eastAsia="Arial"/>
          <w:color w:val="111827"/>
          <w:sz w:val="22"/>
        </w:rPr>
        <w:t>An ended term shows a class or section inconsistent with its snapshot.</w:t>
      </w:r>
    </w:p>
    <w:p>
      <w:pPr>
        <w:pStyle w:val="ListBullet"/>
        <w:spacing w:after="120" w:line="264" w:lineRule="auto"/>
        <w:ind w:left="720" w:hanging="360"/>
      </w:pPr>
      <w:r>
        <w:rPr>
          <w:rFonts w:ascii="Arial" w:hAnsi="Arial" w:eastAsia="Arial"/>
          <w:color w:val="111827"/>
          <w:sz w:val="22"/>
        </w:rPr>
        <w:t>Read counts increase for any covered user journey.</w:t>
      </w:r>
    </w:p>
    <w:p>
      <w:pPr>
        <w:pStyle w:val="ListBullet"/>
        <w:spacing w:after="120" w:line="264" w:lineRule="auto"/>
        <w:ind w:left="720" w:hanging="360"/>
      </w:pPr>
      <w:r>
        <w:rPr>
          <w:rFonts w:ascii="Arial" w:hAnsi="Arial" w:eastAsia="Arial"/>
          <w:color w:val="111827"/>
          <w:sz w:val="22"/>
        </w:rPr>
        <w:t>Error gating prevents normal work on a healthy connection.</w:t>
      </w:r>
    </w:p>
    <w:p>
      <w:r>
        <w:br w:type="page"/>
      </w:r>
    </w:p>
    <w:p>
      <w:pPr>
        <w:pStyle w:val="Heading1"/>
      </w:pPr>
      <w:r>
        <w:t>7. Monitoring and rollout controls</w:t>
      </w:r>
    </w:p>
    <w:p>
      <w:pPr>
        <w:spacing w:before="0" w:after="120" w:line="264" w:lineRule="auto"/>
      </w:pPr>
      <w:r>
        <w:rPr>
          <w:rFonts w:ascii="Arial" w:hAnsi="Arial" w:eastAsia="Arial"/>
          <w:color w:val="111827"/>
          <w:sz w:val="22"/>
        </w:rPr>
        <w:t>Because the front-end is currently trusted, every stage should be independently reversible. Do not bundle fee-owner consolidation, snapshot safety, signature batching, and payment error handling into one deployment.</w:t>
      </w:r>
    </w:p>
    <w:tbl>
      <w:tblPr>
        <w:tblStyle w:val="TableGrid"/>
        <w:tblW w:type="dxa" w:w="9360"/>
        <w:tblLayout w:type="fixed"/>
        <w:tblLook w:firstColumn="1" w:firstRow="1" w:lastColumn="0" w:lastRow="0" w:noHBand="0" w:noVBand="1" w:val="04A0"/>
        <w:jc w:val="left"/>
        <w:tblInd w:w="120" w:type="dxa"/>
      </w:tblPr>
      <w:tblGrid>
        <w:gridCol w:w="1700"/>
        <w:gridCol w:w="2700"/>
        <w:gridCol w:w="4960"/>
      </w:tblGrid>
      <w:tr>
        <w:trPr>
          <w:tblHeader w:val="true"/>
        </w:trP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Control</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Purpose</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Recommended implementation</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Feature flag per stage</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Separate user-visible risk</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Flags for fee selector, snapshot gating, lazy signatures, and payment-error guard</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Shadow comparison</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Prove calculation equivalence</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Compute old and new fee results; log IDs/amount differences without changing UI</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Read counters</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Prove value</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Development and canary counters by service, query key, route action, and source</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Last-synced metadata</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Make freshness understandable</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Expose only where needed for manual refresh or stale-data warnings</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Canary roles</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Limit blast radius</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Administrators, selected finance staff, then general staff</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One-stage deployments</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Simplify rollback</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One ownership/refetch theme per commit and release</w:t>
            </w:r>
          </w:p>
        </w:tc>
      </w:tr>
      <w:tr>
        <w:tc>
          <w:tcPr>
            <w:tcW w:type="dxa" w:w="1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Fast rollback</w:t>
            </w:r>
          </w:p>
        </w:tc>
        <w:tc>
          <w:tcPr>
            <w:tcW w:type="dxa" w:w="270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Restore trusted behavior</w:t>
            </w:r>
          </w:p>
        </w:tc>
        <w:tc>
          <w:tcPr>
            <w:tcW w:type="dxa" w:w="49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8"/>
              </w:rPr>
              <w:t>Keep prior selector/listener path until each stage passes production observation</w:t>
            </w:r>
          </w:p>
        </w:tc>
      </w:tr>
    </w:tbl>
    <w:p>
      <w:pPr>
        <w:spacing w:after="20"/>
      </w:pPr>
    </w:p>
    <w:p>
      <w:pPr>
        <w:pStyle w:val="Heading2"/>
      </w:pPr>
      <w:r>
        <w:t>Suggested observation window</w:t>
      </w:r>
    </w:p>
    <w:p>
      <w:pPr>
        <w:pStyle w:val="ListBullet"/>
        <w:spacing w:after="120" w:line="264" w:lineRule="auto"/>
        <w:ind w:left="720" w:hanging="360"/>
      </w:pPr>
      <w:r>
        <w:rPr>
          <w:rFonts w:ascii="Arial" w:hAnsi="Arial" w:eastAsia="Arial"/>
          <w:color w:val="111827"/>
          <w:sz w:val="22"/>
        </w:rPr>
        <w:t>Low-risk Stage 1: one full school day covering multiple pupils and term switches.</w:t>
      </w:r>
    </w:p>
    <w:p>
      <w:pPr>
        <w:pStyle w:val="ListBullet"/>
        <w:spacing w:after="120" w:line="264" w:lineRule="auto"/>
        <w:ind w:left="720" w:hanging="360"/>
      </w:pPr>
      <w:r>
        <w:rPr>
          <w:rFonts w:ascii="Arial" w:hAnsi="Arial" w:eastAsia="Arial"/>
          <w:color w:val="111827"/>
          <w:sz w:val="22"/>
        </w:rPr>
        <w:t>Query-key and mutation Stage 2: at least two days including payment, reversal, assignment, and SchoolPay flows.</w:t>
      </w:r>
    </w:p>
    <w:p>
      <w:pPr>
        <w:pStyle w:val="ListBullet"/>
        <w:spacing w:after="120" w:line="264" w:lineRule="auto"/>
        <w:ind w:left="720" w:hanging="360"/>
      </w:pPr>
      <w:r>
        <w:rPr>
          <w:rFonts w:ascii="Arial" w:hAnsi="Arial" w:eastAsia="Arial"/>
          <w:color w:val="111827"/>
          <w:sz w:val="22"/>
        </w:rPr>
        <w:t>Fee-owner Stage 3: one week including historical-year work and fee edits.</w:t>
      </w:r>
    </w:p>
    <w:p>
      <w:pPr>
        <w:pStyle w:val="ListBullet"/>
        <w:spacing w:after="120" w:line="264" w:lineRule="auto"/>
        <w:ind w:left="720" w:hanging="360"/>
      </w:pPr>
      <w:r>
        <w:rPr>
          <w:rFonts w:ascii="Arial" w:hAnsi="Arial" w:eastAsia="Arial"/>
          <w:color w:val="111827"/>
          <w:sz w:val="22"/>
        </w:rPr>
        <w:t>Snapshot/error Stage 5: canary for at least one week with weak-network and ended-term tests before broad rollout.</w:t>
      </w:r>
    </w:p>
    <w:p>
      <w:pPr>
        <w:pStyle w:val="Heading2"/>
      </w:pPr>
      <w:r>
        <w:t>Read-reduction success measures</w:t>
      </w:r>
    </w:p>
    <w:p>
      <w:pPr>
        <w:pStyle w:val="ListBullet"/>
        <w:spacing w:after="120" w:line="264" w:lineRule="auto"/>
        <w:ind w:left="720" w:hanging="360"/>
      </w:pPr>
      <w:r>
        <w:rPr>
          <w:rFonts w:ascii="Arial" w:hAnsi="Arial" w:eastAsia="Arial"/>
          <w:color w:val="111827"/>
          <w:sz w:val="22"/>
        </w:rPr>
        <w:t>Fee-structure service calls per page mount fall from multiple families to zero after shared hydration.</w:t>
      </w:r>
    </w:p>
    <w:p>
      <w:pPr>
        <w:pStyle w:val="ListBullet"/>
        <w:spacing w:after="120" w:line="264" w:lineRule="auto"/>
        <w:ind w:left="720" w:hanging="360"/>
      </w:pPr>
      <w:r>
        <w:rPr>
          <w:rFonts w:ascii="Arial" w:hAnsi="Arial" w:eastAsia="Arial"/>
          <w:color w:val="111827"/>
          <w:sz w:val="22"/>
        </w:rPr>
        <w:t>Uniform-definition service calls per page mount fall to zero after shared hydration.</w:t>
      </w:r>
    </w:p>
    <w:p>
      <w:pPr>
        <w:pStyle w:val="ListBullet"/>
        <w:spacing w:after="120" w:line="264" w:lineRule="auto"/>
        <w:ind w:left="720" w:hanging="360"/>
      </w:pPr>
      <w:r>
        <w:rPr>
          <w:rFonts w:ascii="Arial" w:hAnsi="Arial" w:eastAsia="Arial"/>
          <w:color w:val="111827"/>
          <w:sz w:val="22"/>
        </w:rPr>
        <w:t>Term switching produces no fee/uniform definition reads.</w:t>
      </w:r>
    </w:p>
    <w:p>
      <w:pPr>
        <w:pStyle w:val="ListBullet"/>
        <w:spacing w:after="120" w:line="264" w:lineRule="auto"/>
        <w:ind w:left="720" w:hanging="360"/>
      </w:pPr>
      <w:r>
        <w:rPr>
          <w:rFonts w:ascii="Arial" w:hAnsi="Arial" w:eastAsia="Arial"/>
          <w:color w:val="111827"/>
          <w:sz w:val="22"/>
        </w:rPr>
        <w:t>Ordinary payment and reversal produce no snapshot or uniform-tracking reads.</w:t>
      </w:r>
    </w:p>
    <w:p>
      <w:pPr>
        <w:pStyle w:val="ListBullet"/>
        <w:spacing w:after="120" w:line="264" w:lineRule="auto"/>
        <w:ind w:left="720" w:hanging="360"/>
      </w:pPr>
      <w:r>
        <w:rPr>
          <w:rFonts w:ascii="Arial" w:hAnsi="Arial" w:eastAsia="Arial"/>
          <w:color w:val="111827"/>
          <w:sz w:val="22"/>
        </w:rPr>
        <w:t>SchoolPay modal produces no additional payment listener.</w:t>
      </w:r>
    </w:p>
    <w:p>
      <w:pPr>
        <w:pStyle w:val="ListBullet"/>
        <w:spacing w:after="120" w:line="264" w:lineRule="auto"/>
        <w:ind w:left="720" w:hanging="360"/>
      </w:pPr>
      <w:r>
        <w:rPr>
          <w:rFonts w:ascii="Arial" w:hAnsi="Arial" w:eastAsia="Arial"/>
          <w:color w:val="111827"/>
          <w:sz w:val="22"/>
        </w:rPr>
        <w:t>Signature reads are zero on initial render or bounded to a small number of batch queries.</w:t>
      </w:r>
    </w:p>
    <w:p>
      <w:pPr>
        <w:pStyle w:val="ListBullet"/>
        <w:spacing w:after="120" w:line="264" w:lineRule="auto"/>
        <w:ind w:left="720" w:hanging="360"/>
      </w:pPr>
      <w:r>
        <w:rPr>
          <w:rFonts w:ascii="Arial" w:hAnsi="Arial" w:eastAsia="Arial"/>
          <w:color w:val="111827"/>
          <w:sz w:val="22"/>
        </w:rPr>
        <w:t>No covered scenario produces more reads than the current baseline.</w:t>
      </w:r>
    </w:p>
    <w:p>
      <w:r>
        <w:br w:type="page"/>
      </w:r>
    </w:p>
    <w:p>
      <w:pPr>
        <w:pStyle w:val="Heading1"/>
      </w:pPr>
      <w:r>
        <w:t>8. Final recommendation</w:t>
      </w:r>
    </w:p>
    <w:p>
      <w:pPr>
        <w:spacing w:before="0" w:after="120" w:line="264" w:lineRule="auto"/>
      </w:pPr>
      <w:r>
        <w:rPr>
          <w:rFonts w:ascii="Arial" w:hAnsi="Arial" w:eastAsia="Arial"/>
          <w:color w:val="111827"/>
          <w:sz w:val="22"/>
        </w:rPr>
        <w:t>The present page should be treated as a trusted financial interface with an inefficient internal data graph. The correct response is not to redesign the interface or replace all data handling at once. It is to remove duplicate ownership around the working behavior.</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ECFDF5"/>
          </w:tcPr>
          <w:p>
            <w:pPr>
              <w:spacing w:after="60"/>
            </w:pPr>
            <w:r>
              <w:rPr>
                <w:rFonts w:ascii="Arial" w:hAnsi="Arial" w:eastAsia="Arial"/>
                <w:b/>
                <w:color w:val="166534"/>
                <w:sz w:val="22"/>
              </w:rPr>
              <w:t>Recommended decision</w:t>
            </w:r>
          </w:p>
          <w:p>
            <w:pPr>
              <w:spacing w:after="0" w:line="264" w:lineRule="auto"/>
            </w:pPr>
            <w:r>
              <w:rPr>
                <w:rFonts w:ascii="Arial" w:hAnsi="Arial" w:eastAsia="Arial"/>
                <w:color w:val="111827"/>
                <w:sz w:val="21"/>
              </w:rPr>
              <w:t>Approve Stages 0 through 2 immediately as controlled, no-visible-change work. Approve Stage 3 only after shadow comparison proves fee equivalence. Treat snapshot and payment-error changes as a separate safety canary. Retain the primary live payment listener.</w:t>
            </w:r>
          </w:p>
        </w:tc>
      </w:tr>
    </w:tbl>
    <w:p>
      <w:pPr>
        <w:spacing w:after="20"/>
      </w:pPr>
    </w:p>
    <w:p>
      <w:pPr>
        <w:spacing w:before="0" w:after="120" w:line="264" w:lineRule="auto"/>
      </w:pPr>
      <w:r>
        <w:rPr>
          <w:rFonts w:ascii="Arial" w:hAnsi="Arial" w:eastAsia="Arial"/>
          <w:color w:val="111827"/>
          <w:sz w:val="22"/>
        </w:rPr>
        <w:t>The risk is worth taking when each change has a narrow owner, a measurable read target, exact result comparisons, and an independent rollback. The risk is not worth taking if all optimizations are combined into one refactor or if success is judged only by whether the page still opens.</w:t>
      </w:r>
    </w:p>
    <w:p>
      <w:pPr>
        <w:pStyle w:val="Heading2"/>
      </w:pPr>
      <w:r>
        <w:t>Implementation priority summary</w:t>
      </w:r>
    </w:p>
    <w:p>
      <w:pPr>
        <w:pStyle w:val="ListNumber"/>
        <w:spacing w:after="120" w:line="264" w:lineRule="auto"/>
        <w:ind w:left="720" w:hanging="360"/>
      </w:pPr>
      <w:r>
        <w:rPr>
          <w:rFonts w:ascii="Arial" w:hAnsi="Arial" w:eastAsia="Arial"/>
          <w:color w:val="111827"/>
          <w:sz w:val="22"/>
        </w:rPr>
        <w:t>Instrument and capture golden results.</w:t>
      </w:r>
    </w:p>
    <w:p>
      <w:pPr>
        <w:pStyle w:val="ListNumber"/>
        <w:spacing w:after="120" w:line="264" w:lineRule="auto"/>
        <w:ind w:left="720" w:hanging="360"/>
      </w:pPr>
      <w:r>
        <w:rPr>
          <w:rFonts w:ascii="Arial" w:hAnsi="Arial" w:eastAsia="Arial"/>
          <w:color w:val="111827"/>
          <w:sz w:val="22"/>
        </w:rPr>
        <w:t>Remove duplicate uniform and SchoolPay reads.</w:t>
      </w:r>
    </w:p>
    <w:p>
      <w:pPr>
        <w:pStyle w:val="ListNumber"/>
        <w:spacing w:after="120" w:line="264" w:lineRule="auto"/>
        <w:ind w:left="720" w:hanging="360"/>
      </w:pPr>
      <w:r>
        <w:rPr>
          <w:rFonts w:ascii="Arial" w:hAnsi="Arial" w:eastAsia="Arial"/>
          <w:color w:val="111827"/>
          <w:sz w:val="22"/>
        </w:rPr>
        <w:t>Normalize query keys and mutation impacts.</w:t>
      </w:r>
    </w:p>
    <w:p>
      <w:pPr>
        <w:pStyle w:val="ListNumber"/>
        <w:spacing w:after="120" w:line="264" w:lineRule="auto"/>
        <w:ind w:left="720" w:hanging="360"/>
      </w:pPr>
      <w:r>
        <w:rPr>
          <w:rFonts w:ascii="Arial" w:hAnsi="Arial" w:eastAsia="Arial"/>
          <w:color w:val="111827"/>
          <w:sz w:val="22"/>
        </w:rPr>
        <w:t>Consolidate fee structures behind shadow comparison.</w:t>
      </w:r>
    </w:p>
    <w:p>
      <w:pPr>
        <w:pStyle w:val="ListNumber"/>
        <w:spacing w:after="120" w:line="264" w:lineRule="auto"/>
        <w:ind w:left="720" w:hanging="360"/>
      </w:pPr>
      <w:r>
        <w:rPr>
          <w:rFonts w:ascii="Arial" w:hAnsi="Arial" w:eastAsia="Arial"/>
          <w:color w:val="111827"/>
          <w:sz w:val="22"/>
        </w:rPr>
        <w:t>Lazy or batch payment signatures.</w:t>
      </w:r>
    </w:p>
    <w:p>
      <w:pPr>
        <w:pStyle w:val="ListNumber"/>
        <w:spacing w:after="120" w:line="264" w:lineRule="auto"/>
        <w:ind w:left="720" w:hanging="360"/>
      </w:pPr>
      <w:r>
        <w:rPr>
          <w:rFonts w:ascii="Arial" w:hAnsi="Arial" w:eastAsia="Arial"/>
          <w:color w:val="111827"/>
          <w:sz w:val="22"/>
        </w:rPr>
        <w:t>Consolidate snapshots and add ended-term safety under a canary.</w:t>
      </w:r>
    </w:p>
    <w:p>
      <w:r>
        <w:br w:type="page"/>
      </w:r>
    </w:p>
    <w:p>
      <w:pPr>
        <w:pStyle w:val="Heading1"/>
      </w:pPr>
      <w:r>
        <w:t>Appendix A - Query-key mismatch examples</w:t>
      </w:r>
    </w:p>
    <w:tbl>
      <w:tblPr>
        <w:tblStyle w:val="TableGrid"/>
        <w:tblW w:type="dxa" w:w="9360"/>
        <w:tblLayout w:type="fixed"/>
        <w:tblLook w:firstColumn="1" w:firstRow="1" w:lastColumn="0" w:lastRow="0" w:noHBand="0" w:noVBand="1" w:val="04A0"/>
        <w:jc w:val="left"/>
        <w:tblInd w:w="120" w:type="dxa"/>
      </w:tblPr>
      <w:tblGrid>
        <w:gridCol w:w="2550"/>
        <w:gridCol w:w="3750"/>
        <w:gridCol w:w="3060"/>
      </w:tblGrid>
      <w:tr>
        <w:trPr>
          <w:tblHeader w:val="true"/>
        </w:trP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Handler key</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Actual active owner</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shd w:fill="F2F4F7"/>
          </w:tcPr>
          <w:p>
            <w:pPr>
              <w:spacing w:before="0" w:after="40" w:line="252" w:lineRule="auto"/>
            </w:pPr>
            <w:r>
              <w:rPr>
                <w:rFonts w:ascii="Arial" w:hAnsi="Arial" w:eastAsia="Arial"/>
                <w:b/>
                <w:color w:val="1F4D78"/>
                <w:sz w:val="18"/>
              </w:rPr>
              <w:t>Current consequence</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['fee-structures']</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['fees','structures'], ['feeStructures','list'], applicable-year, carry-forward</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Does not reliably refresh the intended fee source</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['pupil-payments', pupilId]</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Local onSnapshot state; some legacy caches use pupil-payments-all</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Invalidation does not update the listener state</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['uniform-tracking', pupilId]</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['uniformTracking','pupil',pupilId]</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Hyphen/casing mismatch; no active match</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['pupil-fees']</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Derived usePupilFees result has no such query</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Dead invalidation</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 pupilId]</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['pupils','detail',pupilId]</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Singular/plural mismatch</w:t>
            </w:r>
          </w:p>
        </w:tc>
      </w:tr>
      <w:tr>
        <w:tc>
          <w:tcPr>
            <w:tcW w:type="dxa" w:w="25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['uniform-fees', pupilId]</w:t>
            </w:r>
          </w:p>
        </w:tc>
        <w:tc>
          <w:tcPr>
            <w:tcW w:type="dxa" w:w="375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Uniform fees are derived from uniformTracking records</w:t>
            </w:r>
          </w:p>
        </w:tc>
        <w:tc>
          <w:tcPr>
            <w:tcW w:type="dxa" w:w="3060"/>
            <w:tcMar>
              <w:top w:w="90" w:type="dxa"/>
              <w:start w:w="120" w:type="dxa"/>
              <w:bottom w:w="90" w:type="dxa"/>
              <w:end w:w="120" w:type="dxa"/>
            </w:tcMar>
            <w:tcBorders>
              <w:top w:val="single" w:sz="6" w:space="0" w:color="C8D0DA"/>
              <w:left w:val="single" w:sz="6" w:space="0" w:color="C8D0DA"/>
              <w:bottom w:val="single" w:sz="6" w:space="0" w:color="C8D0DA"/>
              <w:right w:val="single" w:sz="6" w:space="0" w:color="C8D0DA"/>
              <w:insideH w:val="single" w:sz="6" w:space="0" w:color="C8D0DA"/>
              <w:insideV w:val="single" w:sz="6" w:space="0" w:color="C8D0DA"/>
            </w:tcBorders>
            <w:vAlign w:val="center"/>
          </w:tcPr>
          <w:p>
            <w:pPr>
              <w:spacing w:before="0" w:after="40" w:line="252" w:lineRule="auto"/>
            </w:pPr>
            <w:r>
              <w:rPr>
                <w:rFonts w:ascii="Arial" w:hAnsi="Arial" w:eastAsia="Arial"/>
                <w:b w:val="0"/>
                <w:color w:val="111827"/>
                <w:sz w:val="17"/>
              </w:rPr>
              <w:t>Legacy invalidation no longer owns displayed data</w:t>
            </w:r>
          </w:p>
        </w:tc>
      </w:tr>
    </w:tbl>
    <w:p>
      <w:pPr>
        <w:spacing w:after="20"/>
      </w:pPr>
    </w:p>
    <w:p>
      <w:pPr>
        <w:pStyle w:val="Heading1"/>
      </w:pPr>
      <w:r>
        <w:t>Appendix B - Primary code evidence</w:t>
      </w:r>
    </w:p>
    <w:p>
      <w:pPr>
        <w:spacing w:after="60" w:line="264" w:lineRule="auto"/>
      </w:pPr>
      <w:r>
        <w:rPr>
          <w:rFonts w:ascii="Arial" w:hAnsi="Arial" w:eastAsia="Arial"/>
          <w:b/>
          <w:color w:val="1F4D78"/>
          <w:sz w:val="22"/>
        </w:rPr>
        <w:t xml:space="preserve">Page owner: </w:t>
      </w:r>
      <w:r>
        <w:rPr>
          <w:rFonts w:ascii="Arial" w:hAnsi="Arial" w:eastAsia="Arial"/>
          <w:color w:val="111827"/>
          <w:sz w:val="22"/>
        </w:rPr>
        <w:t>src/app/fees/collect/[id]/PupilFeesCollectionClient.tsx</w:t>
      </w:r>
    </w:p>
    <w:p>
      <w:pPr>
        <w:spacing w:after="60" w:line="264" w:lineRule="auto"/>
      </w:pPr>
      <w:r>
        <w:rPr>
          <w:rFonts w:ascii="Arial" w:hAnsi="Arial" w:eastAsia="Arial"/>
          <w:b/>
          <w:color w:val="1F4D78"/>
          <w:sz w:val="22"/>
        </w:rPr>
        <w:t xml:space="preserve">Fee data hook: </w:t>
      </w:r>
      <w:r>
        <w:rPr>
          <w:rFonts w:ascii="Arial" w:hAnsi="Arial" w:eastAsia="Arial"/>
          <w:color w:val="111827"/>
          <w:sz w:val="22"/>
        </w:rPr>
        <w:t>src/app/fees/collect/[id]/hooks/usePupilFees.ts</w:t>
      </w:r>
    </w:p>
    <w:p>
      <w:pPr>
        <w:spacing w:after="60" w:line="264" w:lineRule="auto"/>
      </w:pPr>
      <w:r>
        <w:rPr>
          <w:rFonts w:ascii="Arial" w:hAnsi="Arial" w:eastAsia="Arial"/>
          <w:b/>
          <w:color w:val="1F4D78"/>
          <w:sz w:val="22"/>
        </w:rPr>
        <w:t xml:space="preserve">Fee cards: </w:t>
      </w:r>
      <w:r>
        <w:rPr>
          <w:rFonts w:ascii="Arial" w:hAnsi="Arial" w:eastAsia="Arial"/>
          <w:color w:val="111827"/>
          <w:sz w:val="22"/>
        </w:rPr>
        <w:t>src/app/fees/collect/[id]/components/FeeCard.tsx</w:t>
      </w:r>
    </w:p>
    <w:p>
      <w:pPr>
        <w:spacing w:after="60" w:line="264" w:lineRule="auto"/>
      </w:pPr>
      <w:r>
        <w:rPr>
          <w:rFonts w:ascii="Arial" w:hAnsi="Arial" w:eastAsia="Arial"/>
          <w:b/>
          <w:color w:val="1F4D78"/>
          <w:sz w:val="22"/>
        </w:rPr>
        <w:t xml:space="preserve">Signature display: </w:t>
      </w:r>
      <w:r>
        <w:rPr>
          <w:rFonts w:ascii="Arial" w:hAnsi="Arial" w:eastAsia="Arial"/>
          <w:color w:val="111827"/>
          <w:sz w:val="22"/>
        </w:rPr>
        <w:t>src/app/fees/collect/[id]/components/PaymentSignatureDisplay.tsx</w:t>
      </w:r>
    </w:p>
    <w:p>
      <w:pPr>
        <w:spacing w:after="60" w:line="264" w:lineRule="auto"/>
      </w:pPr>
      <w:r>
        <w:rPr>
          <w:rFonts w:ascii="Arial" w:hAnsi="Arial" w:eastAsia="Arial"/>
          <w:b/>
          <w:color w:val="1F4D78"/>
          <w:sz w:val="22"/>
        </w:rPr>
        <w:t xml:space="preserve">SchoolPay modal: </w:t>
      </w:r>
      <w:r>
        <w:rPr>
          <w:rFonts w:ascii="Arial" w:hAnsi="Arial" w:eastAsia="Arial"/>
          <w:color w:val="111827"/>
          <w:sz w:val="22"/>
        </w:rPr>
        <w:t>src/app/fees/collect/[id]/components/SchoolPayPaymentsModal.tsx</w:t>
      </w:r>
    </w:p>
    <w:p>
      <w:pPr>
        <w:spacing w:after="60" w:line="264" w:lineRule="auto"/>
      </w:pPr>
      <w:r>
        <w:rPr>
          <w:rFonts w:ascii="Arial" w:hAnsi="Arial" w:eastAsia="Arial"/>
          <w:b/>
          <w:color w:val="1F4D78"/>
          <w:sz w:val="22"/>
        </w:rPr>
        <w:t xml:space="preserve">SchoolPay banner: </w:t>
      </w:r>
      <w:r>
        <w:rPr>
          <w:rFonts w:ascii="Arial" w:hAnsi="Arial" w:eastAsia="Arial"/>
          <w:color w:val="111827"/>
          <w:sz w:val="22"/>
        </w:rPr>
        <w:t>src/app/fees/collect/[id]/components/SchoolPayPaymentBanner.tsx</w:t>
      </w:r>
    </w:p>
    <w:p>
      <w:pPr>
        <w:spacing w:after="60" w:line="264" w:lineRule="auto"/>
      </w:pPr>
      <w:r>
        <w:rPr>
          <w:rFonts w:ascii="Arial" w:hAnsi="Arial" w:eastAsia="Arial"/>
          <w:b/>
          <w:color w:val="1F4D78"/>
          <w:sz w:val="22"/>
        </w:rPr>
        <w:t xml:space="preserve">Global preloader: </w:t>
      </w:r>
      <w:r>
        <w:rPr>
          <w:rFonts w:ascii="Arial" w:hAnsi="Arial" w:eastAsia="Arial"/>
          <w:color w:val="111827"/>
          <w:sz w:val="22"/>
        </w:rPr>
        <w:t>src/components/providers/global-data-preloader.tsx</w:t>
      </w:r>
    </w:p>
    <w:p>
      <w:pPr>
        <w:spacing w:after="60" w:line="264" w:lineRule="auto"/>
      </w:pPr>
      <w:r>
        <w:rPr>
          <w:rFonts w:ascii="Arial" w:hAnsi="Arial" w:eastAsia="Arial"/>
          <w:b/>
          <w:color w:val="1F4D78"/>
          <w:sz w:val="22"/>
        </w:rPr>
        <w:t xml:space="preserve">Query client defaults: </w:t>
      </w:r>
      <w:r>
        <w:rPr>
          <w:rFonts w:ascii="Arial" w:hAnsi="Arial" w:eastAsia="Arial"/>
          <w:color w:val="111827"/>
          <w:sz w:val="22"/>
        </w:rPr>
        <w:t>src/components/providers/query-provider.tsx</w:t>
      </w:r>
    </w:p>
    <w:p>
      <w:pPr>
        <w:spacing w:after="60" w:line="264" w:lineRule="auto"/>
      </w:pPr>
      <w:r>
        <w:rPr>
          <w:rFonts w:ascii="Arial" w:hAnsi="Arial" w:eastAsia="Arial"/>
          <w:b/>
          <w:color w:val="1F4D78"/>
          <w:sz w:val="22"/>
        </w:rPr>
        <w:t xml:space="preserve">Fee hooks: </w:t>
      </w:r>
      <w:r>
        <w:rPr>
          <w:rFonts w:ascii="Arial" w:hAnsi="Arial" w:eastAsia="Arial"/>
          <w:color w:val="111827"/>
          <w:sz w:val="22"/>
        </w:rPr>
        <w:t>src/lib/hooks/use-fee-structures.ts and src/lib/hooks/use-fees.ts</w:t>
      </w:r>
    </w:p>
    <w:p>
      <w:pPr>
        <w:spacing w:after="60" w:line="264" w:lineRule="auto"/>
      </w:pPr>
      <w:r>
        <w:rPr>
          <w:rFonts w:ascii="Arial" w:hAnsi="Arial" w:eastAsia="Arial"/>
          <w:b/>
          <w:color w:val="1F4D78"/>
          <w:sz w:val="22"/>
        </w:rPr>
        <w:t xml:space="preserve">Uniform hooks: </w:t>
      </w:r>
      <w:r>
        <w:rPr>
          <w:rFonts w:ascii="Arial" w:hAnsi="Arial" w:eastAsia="Arial"/>
          <w:color w:val="111827"/>
          <w:sz w:val="22"/>
        </w:rPr>
        <w:t>src/lib/hooks/use-uniforms.ts</w:t>
      </w:r>
    </w:p>
    <w:p>
      <w:pPr>
        <w:spacing w:after="60" w:line="264" w:lineRule="auto"/>
      </w:pPr>
      <w:r>
        <w:rPr>
          <w:rFonts w:ascii="Arial" w:hAnsi="Arial" w:eastAsia="Arial"/>
          <w:b/>
          <w:color w:val="1F4D78"/>
          <w:sz w:val="22"/>
        </w:rPr>
        <w:t xml:space="preserve">Uniform tracking: </w:t>
      </w:r>
      <w:r>
        <w:rPr>
          <w:rFonts w:ascii="Arial" w:hAnsi="Arial" w:eastAsia="Arial"/>
          <w:color w:val="111827"/>
          <w:sz w:val="22"/>
        </w:rPr>
        <w:t>src/lib/hooks/use-uniform-tracking.ts</w:t>
      </w:r>
    </w:p>
    <w:p>
      <w:pPr>
        <w:spacing w:after="60" w:line="264" w:lineRule="auto"/>
      </w:pPr>
      <w:r>
        <w:rPr>
          <w:rFonts w:ascii="Arial" w:hAnsi="Arial" w:eastAsia="Arial"/>
          <w:b/>
          <w:color w:val="1F4D78"/>
          <w:sz w:val="22"/>
        </w:rPr>
        <w:t xml:space="preserve">Snapshot service: </w:t>
      </w:r>
      <w:r>
        <w:rPr>
          <w:rFonts w:ascii="Arial" w:hAnsi="Arial" w:eastAsia="Arial"/>
          <w:color w:val="111827"/>
          <w:sz w:val="22"/>
        </w:rPr>
        <w:t>src/lib/services/pupil-snapshots.service.ts</w:t>
      </w:r>
    </w:p>
    <w:p>
      <w:pPr>
        <w:spacing w:after="60" w:line="264" w:lineRule="auto"/>
      </w:pPr>
      <w:r>
        <w:rPr>
          <w:rFonts w:ascii="Arial" w:hAnsi="Arial" w:eastAsia="Arial"/>
          <w:b/>
          <w:color w:val="1F4D78"/>
          <w:sz w:val="22"/>
        </w:rPr>
        <w:t xml:space="preserve">Fee processing: </w:t>
      </w:r>
      <w:r>
        <w:rPr>
          <w:rFonts w:ascii="Arial" w:hAnsi="Arial" w:eastAsia="Arial"/>
          <w:color w:val="111827"/>
          <w:sz w:val="22"/>
        </w:rPr>
        <w:t>src/app/fees/collect/[id]/utils/feeProcessing.ts</w:t>
      </w:r>
    </w:p>
    <w:p>
      <w:pPr>
        <w:pStyle w:val="Heading1"/>
      </w:pPr>
      <w:r>
        <w:t>Appendix C - Assumptions and limitations</w:t>
      </w:r>
    </w:p>
    <w:p>
      <w:pPr>
        <w:pStyle w:val="ListBullet"/>
        <w:spacing w:after="120" w:line="264" w:lineRule="auto"/>
        <w:ind w:left="720" w:hanging="360"/>
      </w:pPr>
      <w:r>
        <w:rPr>
          <w:rFonts w:ascii="Arial" w:hAnsi="Arial" w:eastAsia="Arial"/>
          <w:color w:val="111827"/>
          <w:sz w:val="22"/>
        </w:rPr>
        <w:t>Read counts in this report are code-path estimates, not Firebase production telemetry.</w:t>
      </w:r>
    </w:p>
    <w:p>
      <w:pPr>
        <w:pStyle w:val="ListBullet"/>
        <w:spacing w:after="120" w:line="264" w:lineRule="auto"/>
        <w:ind w:left="720" w:hanging="360"/>
      </w:pPr>
      <w:r>
        <w:rPr>
          <w:rFonts w:ascii="Arial" w:hAnsi="Arial" w:eastAsia="Arial"/>
          <w:color w:val="111827"/>
          <w:sz w:val="22"/>
        </w:rPr>
        <w:t>Firestore may serve local cache quickly, but online reconciliation and billing behavior depend on source, listener state, reconnects, and returned documents.</w:t>
      </w:r>
    </w:p>
    <w:p>
      <w:pPr>
        <w:pStyle w:val="ListBullet"/>
        <w:spacing w:after="120" w:line="264" w:lineRule="auto"/>
        <w:ind w:left="720" w:hanging="360"/>
      </w:pPr>
      <w:r>
        <w:rPr>
          <w:rFonts w:ascii="Arial" w:hAnsi="Arial" w:eastAsia="Arial"/>
          <w:color w:val="111827"/>
          <w:sz w:val="22"/>
        </w:rPr>
        <w:t>React Query deduplicates identical query keys but cannot deduplicate different keys that call the same collection.</w:t>
      </w:r>
    </w:p>
    <w:p>
      <w:pPr>
        <w:pStyle w:val="ListBullet"/>
        <w:spacing w:after="120" w:line="264" w:lineRule="auto"/>
        <w:ind w:left="720" w:hanging="360"/>
      </w:pPr>
      <w:r>
        <w:rPr>
          <w:rFonts w:ascii="Arial" w:hAnsi="Arial" w:eastAsia="Arial"/>
          <w:color w:val="111827"/>
          <w:sz w:val="22"/>
        </w:rPr>
        <w:t>The audit is static and focused on the pupil fees collection route and components it mounts.</w:t>
      </w:r>
    </w:p>
    <w:p>
      <w:pPr>
        <w:pStyle w:val="ListBullet"/>
        <w:spacing w:after="120" w:line="264" w:lineRule="auto"/>
        <w:ind w:left="720" w:hanging="360"/>
      </w:pPr>
      <w:r>
        <w:rPr>
          <w:rFonts w:ascii="Arial" w:hAnsi="Arial" w:eastAsia="Arial"/>
          <w:color w:val="111827"/>
          <w:sz w:val="22"/>
        </w:rPr>
        <w:t>No application code was changed as part of this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B6472"/>
        <w:sz w:val="17"/>
      </w:rPr>
      <w:t xml:space="preserve">Technical decision memo  |  30 July 2026  |  Page </w:t>
    </w:r>
    <w:r>
      <w:rPr>
        <w:rFonts w:ascii="Arial" w:hAnsi="Arial" w:eastAsia="Arial"/>
        <w:color w:val="5B6472"/>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5B6472"/>
        <w:sz w:val="17"/>
      </w:rPr>
      <w:t>TRINITY FAMILY SCHOOL  |  PUPIL FEES COLLECTION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sz w:val="22"/>
    </w:rPr>
  </w:style>
  <w:style w:type="paragraph" w:styleId="ListBullet2">
    <w:name w:val="List Bullet 2"/>
    <w:basedOn w:val="Normal"/>
    <w:uiPriority w:val="99"/>
    <w:unhideWhenUsed/>
    <w:rsid w:val="00326F90"/>
    <w:pPr>
      <w:numPr>
        <w:numId w:val="2"/>
      </w:numPr>
      <w:spacing w:after="120" w:line="264" w:lineRule="auto"/>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sz w:val="22"/>
    </w:rPr>
  </w:style>
  <w:style w:type="paragraph" w:styleId="ListNumber2">
    <w:name w:val="List Number 2"/>
    <w:basedOn w:val="Normal"/>
    <w:uiPriority w:val="99"/>
    <w:unhideWhenUsed/>
    <w:rsid w:val="0029639D"/>
    <w:pPr>
      <w:numPr>
        <w:numId w:val="6"/>
      </w:numPr>
      <w:spacing w:after="120" w:line="264" w:lineRule="auto"/>
      <w:contextualSpacing/>
    </w:pPr>
    <w:rPr>
      <w:rFonts w:ascii="Arial" w:hAnsi="Arial"/>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Pupil Fees Collection Data-flow, Reads and Change Risk Assessment</dc:title>
  <dc:subject>Trinity Family School fees collection technical decision memo</dc:subject>
  <dc:creator>OpenAI Codex</dc:creator>
  <cp:keywords>fees collection, Firestore reads, React Query, cache, risk assessment</cp:keywords>
  <dc:description>Generated from a static audit of the current repository on 30 July 2026.</dc:description>
  <cp:lastModifiedBy/>
  <cp:revision>1</cp:revision>
  <dcterms:created xsi:type="dcterms:W3CDTF">2013-12-23T23:15:00Z</dcterms:created>
  <dcterms:modified xsi:type="dcterms:W3CDTF">2013-12-23T23:15:00Z</dcterms:modified>
  <cp:category/>
</cp:coreProperties>
</file>