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Метою є виявлення дефектів без запуску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дефектів проводиться із запущеним кодом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Знижує вартість фіксу знайдених багів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ретельне дослідження, яке розглядає всю функціональність програми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Підвищує інформованість про різні проблеми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додаток тестується з точки зору користувача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скорочуються зусилля по виправленню помилок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може бути автоматизовано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може займати багато часу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Висока вартість проведення тестування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Перешкоджає виявленню вразливостей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зазвичай виконується після завершення кодування, і знайдені баги виявляються пізніше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Допомагає у виявленні дефектів на початкових рівнях і дає більш розгорнутий аналіз системи в цілому, але вимагає більше затрат часу.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Динамічне тестування краще, адже воно проводиться на останніх етапах і це допомагає забезпечити якість для користувача з його точки зору.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0ff00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0ff00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0ff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