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3864"/>
          <w:sz w:val="72"/>
        </w:rPr>
        <w:t>CLIENTRA</w:t>
      </w:r>
    </w:p>
    <w:p>
      <w:pPr>
        <w:jc w:val="center"/>
      </w:pPr>
      <w:r>
        <w:rPr>
          <w:rFonts w:ascii="Calibri" w:hAnsi="Calibri"/>
          <w:color w:val="4472C4"/>
          <w:sz w:val="36"/>
        </w:rPr>
        <w:t>CRM Inmobiliario para Corredoras Chilenas</w:t>
      </w:r>
    </w:p>
    <w:p/>
    <w:p>
      <w:pPr>
        <w:jc w:val="center"/>
      </w:pPr>
      <w:r>
        <w:rPr>
          <w:rFonts w:ascii="Calibri" w:hAnsi="Calibri"/>
          <w:b/>
          <w:color w:val="2E74B5"/>
          <w:sz w:val="28"/>
        </w:rPr>
        <w:t>Informe de Desarrollo y Auditoría Técnica</w:t>
      </w:r>
    </w:p>
    <w:p/>
    <w:p/>
    <w:p>
      <w:pPr>
        <w:jc w:val="center"/>
      </w:pPr>
      <w:r>
        <w:rPr>
          <w:rFonts w:ascii="Calibri" w:hAnsi="Calibri"/>
          <w:color w:val="595959"/>
          <w:sz w:val="24"/>
        </w:rPr>
        <w:t>Fecha: 03 de June de 2026</w:t>
      </w:r>
    </w:p>
    <w:p>
      <w:pPr>
        <w:jc w:val="center"/>
      </w:pPr>
      <w:r>
        <w:rPr>
          <w:rFonts w:ascii="Calibri" w:hAnsi="Calibri"/>
          <w:i/>
          <w:color w:val="7F7F7F"/>
          <w:sz w:val="22"/>
        </w:rPr>
        <w:t>Versión: H1 – H5 Completados  |  Estado: En desarrollo activo</w:t>
      </w:r>
    </w:p>
    <w:p>
      <w:r>
        <w:br w:type="page"/>
      </w:r>
    </w:p>
    <w:p>
      <w:pPr>
        <w:pStyle w:val="Heading1"/>
        <w:jc w:val="left"/>
      </w:pPr>
      <w:r>
        <w:rPr>
          <w:rFonts w:ascii="Calibri" w:hAnsi="Calibri"/>
          <w:color w:val="1F3864"/>
        </w:rPr>
        <w:t>1. Resumen Ejecutivo</w:t>
      </w:r>
    </w:p>
    <w:p>
      <w:pPr>
        <w:spacing w:after="40"/>
        <w:pBdr>
          <w:bottom w:val="single" w:sz="6" w:space="1" w:color="4472C4"/>
        </w:pBdr>
      </w:pPr>
    </w:p>
    <w:p/>
    <w:p>
      <w:pPr>
        <w:spacing w:after="120"/>
      </w:pPr>
      <w:r>
        <w:rPr>
          <w:rFonts w:ascii="Calibri" w:hAnsi="Calibri"/>
          <w:b w:val="0"/>
          <w:i w:val="0"/>
          <w:sz w:val="22"/>
        </w:rPr>
        <w:t>CLIENTRA es un SaaS multi-tenant de CRM diseñado específicamente para corredoras de propiedades chilenas. Su propósito central es eliminar el mayor problema de la industria: la pérdida de compradores potenciales por falta de seguimiento oportuno. El sistema captura leads desde múltiples canales (WhatsApp, portales inmobiliarios, Meta Ads, landing pages), los califica automáticamente mediante un motor de scoring heurístico, genera cadencias de seguimiento y detecta leads que han enfriado para ofrecer oportunidades de recuperación.</w:t>
      </w:r>
    </w:p>
    <w:p/>
    <w:p>
      <w:pPr>
        <w:spacing w:after="120"/>
      </w:pPr>
      <w:r>
        <w:rPr>
          <w:rFonts w:ascii="Calibri" w:hAnsi="Calibri"/>
          <w:b/>
          <w:i w:val="0"/>
          <w:sz w:val="22"/>
        </w:rPr>
        <w:t>Estado actual del proyecto:</w:t>
      </w:r>
    </w:p>
    <w:tbl>
      <w:tblPr>
        <w:tblStyle w:val="TableGrid"/>
        <w:tblW w:type="auto" w:w="0"/>
        <w:tblLook w:firstColumn="1" w:firstRow="1" w:lastColumn="0" w:lastRow="0" w:noHBand="0" w:noVBand="1" w:val="04A0"/>
      </w:tblPr>
      <w:tblGrid>
        <w:gridCol w:w="2835"/>
        <w:gridCol w:w="6236"/>
      </w:tblGrid>
      <w:tr>
        <w:trPr>
          <w:trHeight w:val="397"/>
        </w:trPr>
        <w:tc>
          <w:tcPr>
            <w:tcW w:type="dxa" w:w="2835"/>
            <w:shd w:val="clear" w:color="auto" w:fill="EBF3FB"/>
          </w:tcPr>
          <w:p>
            <w:r>
              <w:rPr>
                <w:rFonts w:ascii="Calibri" w:hAnsi="Calibri"/>
                <w:b/>
                <w:sz w:val="20"/>
              </w:rPr>
              <w:t>Hitos completados</w:t>
            </w:r>
          </w:p>
        </w:tc>
        <w:tc>
          <w:tcPr>
            <w:tcW w:type="dxa" w:w="6236"/>
            <w:shd w:val="clear" w:color="auto" w:fill="EBF3FB"/>
          </w:tcPr>
          <w:p>
            <w:r>
              <w:rPr>
                <w:rFonts w:ascii="Calibri" w:hAnsi="Calibri"/>
                <w:sz w:val="20"/>
              </w:rPr>
              <w:t>H1 · H2 · H3 · H4 · H5</w:t>
            </w:r>
          </w:p>
        </w:tc>
      </w:tr>
      <w:tr>
        <w:trPr>
          <w:trHeight w:val="397"/>
        </w:trPr>
        <w:tc>
          <w:tcPr>
            <w:tcW w:type="dxa" w:w="2835"/>
            <w:shd w:val="clear" w:color="auto" w:fill="FFFFFF"/>
          </w:tcPr>
          <w:p>
            <w:r>
              <w:rPr>
                <w:rFonts w:ascii="Calibri" w:hAnsi="Calibri"/>
                <w:b/>
                <w:sz w:val="20"/>
              </w:rPr>
              <w:t>Hitos pendientes</w:t>
            </w:r>
          </w:p>
        </w:tc>
        <w:tc>
          <w:tcPr>
            <w:tcW w:type="dxa" w:w="6236"/>
            <w:shd w:val="clear" w:color="auto" w:fill="FFFFFF"/>
          </w:tcPr>
          <w:p>
            <w:r>
              <w:rPr>
                <w:rFonts w:ascii="Calibri" w:hAnsi="Calibri"/>
                <w:sz w:val="20"/>
              </w:rPr>
              <w:t>H6 (por instrucción del equipo)</w:t>
            </w:r>
          </w:p>
        </w:tc>
      </w:tr>
      <w:tr>
        <w:trPr>
          <w:trHeight w:val="397"/>
        </w:trPr>
        <w:tc>
          <w:tcPr>
            <w:tcW w:type="dxa" w:w="2835"/>
            <w:shd w:val="clear" w:color="auto" w:fill="EBF3FB"/>
          </w:tcPr>
          <w:p>
            <w:r>
              <w:rPr>
                <w:rFonts w:ascii="Calibri" w:hAnsi="Calibri"/>
                <w:b/>
                <w:sz w:val="20"/>
              </w:rPr>
              <w:t>Tests unitarios</w:t>
            </w:r>
          </w:p>
        </w:tc>
        <w:tc>
          <w:tcPr>
            <w:tcW w:type="dxa" w:w="6236"/>
            <w:shd w:val="clear" w:color="auto" w:fill="EBF3FB"/>
          </w:tcPr>
          <w:p>
            <w:r>
              <w:rPr>
                <w:rFonts w:ascii="Calibri" w:hAnsi="Calibri"/>
                <w:sz w:val="20"/>
              </w:rPr>
              <w:t>41 tests — todos pasando</w:t>
            </w:r>
          </w:p>
        </w:tc>
      </w:tr>
      <w:tr>
        <w:trPr>
          <w:trHeight w:val="397"/>
        </w:trPr>
        <w:tc>
          <w:tcPr>
            <w:tcW w:type="dxa" w:w="2835"/>
            <w:shd w:val="clear" w:color="auto" w:fill="FFFFFF"/>
          </w:tcPr>
          <w:p>
            <w:r>
              <w:rPr>
                <w:rFonts w:ascii="Calibri" w:hAnsi="Calibri"/>
                <w:b/>
                <w:sz w:val="20"/>
              </w:rPr>
              <w:t>Arquitectura</w:t>
            </w:r>
          </w:p>
        </w:tc>
        <w:tc>
          <w:tcPr>
            <w:tcW w:type="dxa" w:w="6236"/>
            <w:shd w:val="clear" w:color="auto" w:fill="FFFFFF"/>
          </w:tcPr>
          <w:p>
            <w:r>
              <w:rPr>
                <w:rFonts w:ascii="Calibri" w:hAnsi="Calibri"/>
                <w:sz w:val="20"/>
              </w:rPr>
              <w:t>Clean Architecture con NestJS + Next.js 15</w:t>
            </w:r>
          </w:p>
        </w:tc>
      </w:tr>
      <w:tr>
        <w:trPr>
          <w:trHeight w:val="397"/>
        </w:trPr>
        <w:tc>
          <w:tcPr>
            <w:tcW w:type="dxa" w:w="2835"/>
            <w:shd w:val="clear" w:color="auto" w:fill="EBF3FB"/>
          </w:tcPr>
          <w:p>
            <w:r>
              <w:rPr>
                <w:rFonts w:ascii="Calibri" w:hAnsi="Calibri"/>
                <w:b/>
                <w:sz w:val="20"/>
              </w:rPr>
              <w:t>Multi-tenancy</w:t>
            </w:r>
          </w:p>
        </w:tc>
        <w:tc>
          <w:tcPr>
            <w:tcW w:type="dxa" w:w="6236"/>
            <w:shd w:val="clear" w:color="auto" w:fill="EBF3FB"/>
          </w:tcPr>
          <w:p>
            <w:r>
              <w:rPr>
                <w:rFonts w:ascii="Calibri" w:hAnsi="Calibri"/>
                <w:sz w:val="20"/>
              </w:rPr>
              <w:t>Implementado en API y base de datos (RLS habilitado)</w:t>
            </w:r>
          </w:p>
        </w:tc>
      </w:tr>
      <w:tr>
        <w:trPr>
          <w:trHeight w:val="397"/>
        </w:trPr>
        <w:tc>
          <w:tcPr>
            <w:tcW w:type="dxa" w:w="2835"/>
            <w:shd w:val="clear" w:color="auto" w:fill="FFFFFF"/>
          </w:tcPr>
          <w:p>
            <w:r>
              <w:rPr>
                <w:rFonts w:ascii="Calibri" w:hAnsi="Calibri"/>
                <w:b/>
                <w:sz w:val="20"/>
              </w:rPr>
              <w:t>Base de datos</w:t>
            </w:r>
          </w:p>
        </w:tc>
        <w:tc>
          <w:tcPr>
            <w:tcW w:type="dxa" w:w="6236"/>
            <w:shd w:val="clear" w:color="auto" w:fill="FFFFFF"/>
          </w:tcPr>
          <w:p>
            <w:r>
              <w:rPr>
                <w:rFonts w:ascii="Calibri" w:hAnsi="Calibri"/>
                <w:sz w:val="20"/>
              </w:rPr>
              <w:t>PostgreSQL 17 (puerto 5433) + Prisma ORM</w:t>
            </w:r>
          </w:p>
        </w:tc>
      </w:tr>
      <w:tr>
        <w:trPr>
          <w:trHeight w:val="397"/>
        </w:trPr>
        <w:tc>
          <w:tcPr>
            <w:tcW w:type="dxa" w:w="2835"/>
            <w:shd w:val="clear" w:color="auto" w:fill="EBF3FB"/>
          </w:tcPr>
          <w:p>
            <w:r>
              <w:rPr>
                <w:rFonts w:ascii="Calibri" w:hAnsi="Calibri"/>
                <w:b/>
                <w:sz w:val="20"/>
              </w:rPr>
              <w:t>Cola de mensajes</w:t>
            </w:r>
          </w:p>
        </w:tc>
        <w:tc>
          <w:tcPr>
            <w:tcW w:type="dxa" w:w="6236"/>
            <w:shd w:val="clear" w:color="auto" w:fill="EBF3FB"/>
          </w:tcPr>
          <w:p>
            <w:r>
              <w:rPr>
                <w:rFonts w:ascii="Calibri" w:hAnsi="Calibri"/>
                <w:sz w:val="20"/>
              </w:rPr>
              <w:t>BullMQ + Redis (requerido para follow-ups automáticos)</w:t>
            </w:r>
          </w:p>
        </w:tc>
      </w:tr>
      <w:tr>
        <w:trPr>
          <w:trHeight w:val="397"/>
        </w:trPr>
        <w:tc>
          <w:tcPr>
            <w:tcW w:type="dxa" w:w="2835"/>
            <w:shd w:val="clear" w:color="auto" w:fill="FFFFFF"/>
          </w:tcPr>
          <w:p>
            <w:r>
              <w:rPr>
                <w:rFonts w:ascii="Calibri" w:hAnsi="Calibri"/>
                <w:b/>
                <w:sz w:val="20"/>
              </w:rPr>
              <w:t>Login de demo</w:t>
            </w:r>
          </w:p>
        </w:tc>
        <w:tc>
          <w:tcPr>
            <w:tcW w:type="dxa" w:w="6236"/>
            <w:shd w:val="clear" w:color="auto" w:fill="FFFFFF"/>
          </w:tcPr>
          <w:p>
            <w:r>
              <w:rPr>
                <w:rFonts w:ascii="Calibri" w:hAnsi="Calibri"/>
                <w:sz w:val="20"/>
              </w:rPr>
              <w:t>admin@demo.cl  /  clientra123</w:t>
            </w:r>
          </w:p>
        </w:tc>
      </w:tr>
    </w:tbl>
    <w:p/>
    <w:p>
      <w:pPr>
        <w:pStyle w:val="Heading1"/>
        <w:jc w:val="left"/>
      </w:pPr>
      <w:r>
        <w:rPr>
          <w:rFonts w:ascii="Calibri" w:hAnsi="Calibri"/>
          <w:color w:val="1F3864"/>
        </w:rPr>
        <w:t>2. Stack Tecnológico y Arquitectura</w:t>
      </w:r>
    </w:p>
    <w:p>
      <w:pPr>
        <w:spacing w:after="40"/>
        <w:pBdr>
          <w:bottom w:val="single" w:sz="6" w:space="1" w:color="4472C4"/>
        </w:pBdr>
      </w:pPr>
    </w:p>
    <w:p/>
    <w:p>
      <w:pPr>
        <w:pStyle w:val="Heading2"/>
        <w:jc w:val="left"/>
      </w:pPr>
      <w:r>
        <w:rPr>
          <w:rFonts w:ascii="Calibri" w:hAnsi="Calibri"/>
          <w:color w:val="2E74B5"/>
        </w:rPr>
        <w:t>2.1 Stack</w:t>
      </w:r>
    </w:p>
    <w:tbl>
      <w:tblPr>
        <w:tblStyle w:val="TableGrid"/>
        <w:tblW w:type="auto" w:w="0"/>
        <w:tblLook w:firstColumn="1" w:firstRow="1" w:lastColumn="0" w:lastRow="0" w:noHBand="0" w:noVBand="1" w:val="04A0"/>
      </w:tblPr>
      <w:tblGrid>
        <w:gridCol w:w="2835"/>
        <w:gridCol w:w="6236"/>
      </w:tblGrid>
      <w:tr>
        <w:trPr>
          <w:trHeight w:val="397"/>
        </w:trPr>
        <w:tc>
          <w:tcPr>
            <w:tcW w:type="dxa" w:w="2835"/>
            <w:shd w:val="clear" w:color="auto" w:fill="EBF3FB"/>
          </w:tcPr>
          <w:p>
            <w:r>
              <w:rPr>
                <w:rFonts w:ascii="Calibri" w:hAnsi="Calibri"/>
                <w:b/>
                <w:sz w:val="20"/>
              </w:rPr>
              <w:t>API (backend)</w:t>
            </w:r>
          </w:p>
        </w:tc>
        <w:tc>
          <w:tcPr>
            <w:tcW w:type="dxa" w:w="6236"/>
            <w:shd w:val="clear" w:color="auto" w:fill="EBF3FB"/>
          </w:tcPr>
          <w:p>
            <w:r>
              <w:rPr>
                <w:rFonts w:ascii="Calibri" w:hAnsi="Calibri"/>
                <w:sz w:val="20"/>
              </w:rPr>
              <w:t>NestJS 10 · TypeScript 5 · Clean Architecture</w:t>
            </w:r>
          </w:p>
        </w:tc>
      </w:tr>
      <w:tr>
        <w:trPr>
          <w:trHeight w:val="397"/>
        </w:trPr>
        <w:tc>
          <w:tcPr>
            <w:tcW w:type="dxa" w:w="2835"/>
            <w:shd w:val="clear" w:color="auto" w:fill="FFFFFF"/>
          </w:tcPr>
          <w:p>
            <w:r>
              <w:rPr>
                <w:rFonts w:ascii="Calibri" w:hAnsi="Calibri"/>
                <w:b/>
                <w:sz w:val="20"/>
              </w:rPr>
              <w:t>Frontend (web)</w:t>
            </w:r>
          </w:p>
        </w:tc>
        <w:tc>
          <w:tcPr>
            <w:tcW w:type="dxa" w:w="6236"/>
            <w:shd w:val="clear" w:color="auto" w:fill="FFFFFF"/>
          </w:tcPr>
          <w:p>
            <w:r>
              <w:rPr>
                <w:rFonts w:ascii="Calibri" w:hAnsi="Calibri"/>
                <w:sz w:val="20"/>
              </w:rPr>
              <w:t>Next.js 15 (App Router) · React 19 · TailwindCSS · shadcn/ui</w:t>
            </w:r>
          </w:p>
        </w:tc>
      </w:tr>
      <w:tr>
        <w:trPr>
          <w:trHeight w:val="397"/>
        </w:trPr>
        <w:tc>
          <w:tcPr>
            <w:tcW w:type="dxa" w:w="2835"/>
            <w:shd w:val="clear" w:color="auto" w:fill="EBF3FB"/>
          </w:tcPr>
          <w:p>
            <w:r>
              <w:rPr>
                <w:rFonts w:ascii="Calibri" w:hAnsi="Calibri"/>
                <w:b/>
                <w:sz w:val="20"/>
              </w:rPr>
              <w:t>Base de datos</w:t>
            </w:r>
          </w:p>
        </w:tc>
        <w:tc>
          <w:tcPr>
            <w:tcW w:type="dxa" w:w="6236"/>
            <w:shd w:val="clear" w:color="auto" w:fill="EBF3FB"/>
          </w:tcPr>
          <w:p>
            <w:r>
              <w:rPr>
                <w:rFonts w:ascii="Calibri" w:hAnsi="Calibri"/>
                <w:sz w:val="20"/>
              </w:rPr>
              <w:t>PostgreSQL 17 · Prisma ORM 5.22</w:t>
            </w:r>
          </w:p>
        </w:tc>
      </w:tr>
      <w:tr>
        <w:trPr>
          <w:trHeight w:val="397"/>
        </w:trPr>
        <w:tc>
          <w:tcPr>
            <w:tcW w:type="dxa" w:w="2835"/>
            <w:shd w:val="clear" w:color="auto" w:fill="FFFFFF"/>
          </w:tcPr>
          <w:p>
            <w:r>
              <w:rPr>
                <w:rFonts w:ascii="Calibri" w:hAnsi="Calibri"/>
                <w:b/>
                <w:sz w:val="20"/>
              </w:rPr>
              <w:t>Cola / Jobs</w:t>
            </w:r>
          </w:p>
        </w:tc>
        <w:tc>
          <w:tcPr>
            <w:tcW w:type="dxa" w:w="6236"/>
            <w:shd w:val="clear" w:color="auto" w:fill="FFFFFF"/>
          </w:tcPr>
          <w:p>
            <w:r>
              <w:rPr>
                <w:rFonts w:ascii="Calibri" w:hAnsi="Calibri"/>
                <w:sz w:val="20"/>
              </w:rPr>
              <w:t>BullMQ 5 · Redis 7</w:t>
            </w:r>
          </w:p>
        </w:tc>
      </w:tr>
      <w:tr>
        <w:trPr>
          <w:trHeight w:val="397"/>
        </w:trPr>
        <w:tc>
          <w:tcPr>
            <w:tcW w:type="dxa" w:w="2835"/>
            <w:shd w:val="clear" w:color="auto" w:fill="EBF3FB"/>
          </w:tcPr>
          <w:p>
            <w:r>
              <w:rPr>
                <w:rFonts w:ascii="Calibri" w:hAnsi="Calibri"/>
                <w:b/>
                <w:sz w:val="20"/>
              </w:rPr>
              <w:t>Autenticación</w:t>
            </w:r>
          </w:p>
        </w:tc>
        <w:tc>
          <w:tcPr>
            <w:tcW w:type="dxa" w:w="6236"/>
            <w:shd w:val="clear" w:color="auto" w:fill="EBF3FB"/>
          </w:tcPr>
          <w:p>
            <w:r>
              <w:rPr>
                <w:rFonts w:ascii="Calibri" w:hAnsi="Calibri"/>
                <w:sz w:val="20"/>
              </w:rPr>
              <w:t>JWT (access 15 min + refresh 7 días) · bcrypt</w:t>
            </w:r>
          </w:p>
        </w:tc>
      </w:tr>
      <w:tr>
        <w:trPr>
          <w:trHeight w:val="397"/>
        </w:trPr>
        <w:tc>
          <w:tcPr>
            <w:tcW w:type="dxa" w:w="2835"/>
            <w:shd w:val="clear" w:color="auto" w:fill="FFFFFF"/>
          </w:tcPr>
          <w:p>
            <w:r>
              <w:rPr>
                <w:rFonts w:ascii="Calibri" w:hAnsi="Calibri"/>
                <w:b/>
                <w:sz w:val="20"/>
              </w:rPr>
              <w:t>Eventos internos</w:t>
            </w:r>
          </w:p>
        </w:tc>
        <w:tc>
          <w:tcPr>
            <w:tcW w:type="dxa" w:w="6236"/>
            <w:shd w:val="clear" w:color="auto" w:fill="FFFFFF"/>
          </w:tcPr>
          <w:p>
            <w:r>
              <w:rPr>
                <w:rFonts w:ascii="Calibri" w:hAnsi="Calibri"/>
                <w:sz w:val="20"/>
              </w:rPr>
              <w:t>EventEmitter2 (@nestjs/event-emitter) · DomainEventBus</w:t>
            </w:r>
          </w:p>
        </w:tc>
      </w:tr>
      <w:tr>
        <w:trPr>
          <w:trHeight w:val="397"/>
        </w:trPr>
        <w:tc>
          <w:tcPr>
            <w:tcW w:type="dxa" w:w="2835"/>
            <w:shd w:val="clear" w:color="auto" w:fill="EBF3FB"/>
          </w:tcPr>
          <w:p>
            <w:r>
              <w:rPr>
                <w:rFonts w:ascii="Calibri" w:hAnsi="Calibri"/>
                <w:b/>
                <w:sz w:val="20"/>
              </w:rPr>
              <w:t>Testing</w:t>
            </w:r>
          </w:p>
        </w:tc>
        <w:tc>
          <w:tcPr>
            <w:tcW w:type="dxa" w:w="6236"/>
            <w:shd w:val="clear" w:color="auto" w:fill="EBF3FB"/>
          </w:tcPr>
          <w:p>
            <w:r>
              <w:rPr>
                <w:rFonts w:ascii="Calibri" w:hAnsi="Calibri"/>
                <w:sz w:val="20"/>
              </w:rPr>
              <w:t>Vitest 2 · 41 tests unitarios</w:t>
            </w:r>
          </w:p>
        </w:tc>
      </w:tr>
      <w:tr>
        <w:trPr>
          <w:trHeight w:val="397"/>
        </w:trPr>
        <w:tc>
          <w:tcPr>
            <w:tcW w:type="dxa" w:w="2835"/>
            <w:shd w:val="clear" w:color="auto" w:fill="FFFFFF"/>
          </w:tcPr>
          <w:p>
            <w:r>
              <w:rPr>
                <w:rFonts w:ascii="Calibri" w:hAnsi="Calibri"/>
                <w:b/>
                <w:sz w:val="20"/>
              </w:rPr>
              <w:t>Monorepo</w:t>
            </w:r>
          </w:p>
        </w:tc>
        <w:tc>
          <w:tcPr>
            <w:tcW w:type="dxa" w:w="6236"/>
            <w:shd w:val="clear" w:color="auto" w:fill="FFFFFF"/>
          </w:tcPr>
          <w:p>
            <w:r>
              <w:rPr>
                <w:rFonts w:ascii="Calibri" w:hAnsi="Calibri"/>
                <w:sz w:val="20"/>
              </w:rPr>
              <w:t>pnpm workspaces · Turborepo-compatible</w:t>
            </w:r>
          </w:p>
        </w:tc>
      </w:tr>
      <w:tr>
        <w:trPr>
          <w:trHeight w:val="397"/>
        </w:trPr>
        <w:tc>
          <w:tcPr>
            <w:tcW w:type="dxa" w:w="2835"/>
            <w:shd w:val="clear" w:color="auto" w:fill="EBF3FB"/>
          </w:tcPr>
          <w:p>
            <w:r>
              <w:rPr>
                <w:rFonts w:ascii="Calibri" w:hAnsi="Calibri"/>
                <w:b/>
                <w:sz w:val="20"/>
              </w:rPr>
              <w:t>Contenedores</w:t>
            </w:r>
          </w:p>
        </w:tc>
        <w:tc>
          <w:tcPr>
            <w:tcW w:type="dxa" w:w="6236"/>
            <w:shd w:val="clear" w:color="auto" w:fill="EBF3FB"/>
          </w:tcPr>
          <w:p>
            <w:r>
              <w:rPr>
                <w:rFonts w:ascii="Calibri" w:hAnsi="Calibri"/>
                <w:sz w:val="20"/>
              </w:rPr>
              <w:t>Docker Compose (postgres + redis + api + web)</w:t>
            </w:r>
          </w:p>
        </w:tc>
      </w:tr>
    </w:tbl>
    <w:p/>
    <w:p>
      <w:pPr>
        <w:pStyle w:val="Heading2"/>
        <w:jc w:val="left"/>
      </w:pPr>
      <w:r>
        <w:rPr>
          <w:rFonts w:ascii="Calibri" w:hAnsi="Calibri"/>
          <w:color w:val="2E74B5"/>
        </w:rPr>
        <w:t>2.2 Principios de Arquitectura</w:t>
      </w:r>
    </w:p>
    <w:p>
      <w:pPr>
        <w:spacing w:after="120"/>
      </w:pPr>
      <w:r>
        <w:rPr>
          <w:rFonts w:ascii="Calibri" w:hAnsi="Calibri"/>
          <w:b w:val="0"/>
          <w:i w:val="0"/>
          <w:sz w:val="22"/>
        </w:rPr>
        <w:t>La API sigue Clean Architecture con cuatro capas bien delimitadas:</w:t>
      </w:r>
    </w:p>
    <w:p>
      <w:pPr>
        <w:pStyle w:val="ListBullet"/>
        <w:spacing w:after="60"/>
        <w:ind w:left="283"/>
      </w:pPr>
      <w:r>
        <w:rPr>
          <w:rFonts w:ascii="Calibri" w:hAnsi="Calibri"/>
          <w:sz w:val="22"/>
        </w:rPr>
        <w:t>Presentation — Controladores NestJS con guards JWT y validación Zod</w:t>
      </w:r>
    </w:p>
    <w:p>
      <w:pPr>
        <w:pStyle w:val="ListBullet"/>
        <w:spacing w:after="60"/>
        <w:ind w:left="283"/>
      </w:pPr>
      <w:r>
        <w:rPr>
          <w:rFonts w:ascii="Calibri" w:hAnsi="Calibri"/>
          <w:sz w:val="22"/>
        </w:rPr>
        <w:t>Application — Use Cases que orquestan la lógica de negocio</w:t>
      </w:r>
    </w:p>
    <w:p>
      <w:pPr>
        <w:pStyle w:val="ListBullet"/>
        <w:spacing w:after="60"/>
        <w:ind w:left="283"/>
      </w:pPr>
      <w:r>
        <w:rPr>
          <w:rFonts w:ascii="Calibri" w:hAnsi="Calibri"/>
          <w:sz w:val="22"/>
        </w:rPr>
        <w:t>Domain — Entidades, interfaces de repositorio y eventos de dominio</w:t>
      </w:r>
    </w:p>
    <w:p>
      <w:pPr>
        <w:pStyle w:val="ListBullet"/>
        <w:spacing w:after="60"/>
        <w:ind w:left="283"/>
      </w:pPr>
      <w:r>
        <w:rPr>
          <w:rFonts w:ascii="Calibri" w:hAnsi="Calibri"/>
          <w:sz w:val="22"/>
        </w:rPr>
        <w:t>Infrastructure — Repositorios Prisma, adaptadores y módulos de NestJS</w:t>
      </w:r>
    </w:p>
    <w:p/>
    <w:p>
      <w:pPr>
        <w:spacing w:after="120"/>
      </w:pPr>
      <w:r>
        <w:rPr>
          <w:rFonts w:ascii="Calibri" w:hAnsi="Calibri"/>
          <w:b/>
          <w:i w:val="0"/>
          <w:sz w:val="22"/>
        </w:rPr>
        <w:t>Reglas de diseño aplicadas en todos los módulos:</w:t>
      </w:r>
    </w:p>
    <w:p>
      <w:pPr>
        <w:pStyle w:val="ListBullet"/>
        <w:spacing w:after="60"/>
        <w:ind w:left="283"/>
      </w:pPr>
      <w:r>
        <w:rPr>
          <w:rFonts w:ascii="Calibri" w:hAnsi="Calibri"/>
          <w:sz w:val="22"/>
        </w:rPr>
        <w:t>Los Use Cases no importan infraestructura directamente — solo interfaces</w:t>
      </w:r>
    </w:p>
    <w:p>
      <w:pPr>
        <w:pStyle w:val="ListBullet"/>
        <w:spacing w:after="60"/>
        <w:ind w:left="283"/>
      </w:pPr>
      <w:r>
        <w:rPr>
          <w:rFonts w:ascii="Calibri" w:hAnsi="Calibri"/>
          <w:sz w:val="22"/>
        </w:rPr>
        <w:t>Los repositorios son inyectados vía tokens DI (@Inject(REPO_TOKEN))</w:t>
      </w:r>
    </w:p>
    <w:p>
      <w:pPr>
        <w:pStyle w:val="ListBullet"/>
        <w:spacing w:after="60"/>
        <w:ind w:left="283"/>
      </w:pPr>
      <w:r>
        <w:rPr>
          <w:rFonts w:ascii="Calibri" w:hAnsi="Calibri"/>
          <w:sz w:val="22"/>
        </w:rPr>
        <w:t>Los eventos de dominio son publicados a través del DomainEventBus</w:t>
      </w:r>
    </w:p>
    <w:p>
      <w:pPr>
        <w:pStyle w:val="ListBullet"/>
        <w:spacing w:after="60"/>
        <w:ind w:left="283"/>
      </w:pPr>
      <w:r>
        <w:rPr>
          <w:rFonts w:ascii="Calibri" w:hAnsi="Calibri"/>
          <w:sz w:val="22"/>
        </w:rPr>
        <w:t>Multi-tenancy garantizado en cada query de repositorio con filtro tenantId</w:t>
      </w:r>
    </w:p>
    <w:p>
      <w:pPr>
        <w:pStyle w:val="ListBullet"/>
        <w:spacing w:after="60"/>
        <w:ind w:left="283"/>
      </w:pPr>
      <w:r>
        <w:rPr>
          <w:rFonts w:ascii="Calibri" w:hAnsi="Calibri"/>
          <w:sz w:val="22"/>
        </w:rPr>
        <w:t>Sin dependencias circulares entre módulos — acceso directo a tablas cuando es necesario</w:t>
      </w:r>
    </w:p>
    <w:p/>
    <w:p>
      <w:pPr>
        <w:pStyle w:val="Heading1"/>
        <w:jc w:val="left"/>
      </w:pPr>
      <w:r>
        <w:rPr>
          <w:rFonts w:ascii="Calibri" w:hAnsi="Calibri"/>
          <w:color w:val="1F3864"/>
        </w:rPr>
        <w:t>3. Hitos Completados (H1 – H5)</w:t>
      </w:r>
    </w:p>
    <w:p>
      <w:pPr>
        <w:spacing w:after="40"/>
        <w:pBdr>
          <w:bottom w:val="single" w:sz="6" w:space="1" w:color="4472C4"/>
        </w:pBdr>
      </w:pPr>
    </w:p>
    <w:p/>
    <w:p>
      <w:pPr>
        <w:pStyle w:val="Heading2"/>
        <w:jc w:val="left"/>
      </w:pPr>
      <w:r>
        <w:rPr>
          <w:rFonts w:ascii="Calibri" w:hAnsi="Calibri"/>
          <w:color w:val="2E74B5"/>
        </w:rPr>
        <w:t>H1 · Lead Intake — Captura Multi-Canal</w:t>
      </w:r>
    </w:p>
    <w:p>
      <w:pPr>
        <w:spacing w:after="120"/>
      </w:pPr>
      <w:r>
        <w:rPr>
          <w:rFonts w:ascii="Calibri" w:hAnsi="Calibri"/>
          <w:b w:val="0"/>
          <w:i w:val="0"/>
          <w:sz w:val="22"/>
        </w:rPr>
        <w:t>Implementa la ingesta de leads desde cualquier canal externo. Define el modelo de datos central (Lead) con soporte para WhatsApp, portales inmobiliarios, Meta Ads, Instagram y landing pages. Incluye el endpoint de webhook para formularios externos y el routing inicial de leads.</w:t>
      </w:r>
    </w:p>
    <w:p>
      <w:pPr>
        <w:pStyle w:val="ListBullet"/>
        <w:spacing w:after="60"/>
        <w:ind w:left="283"/>
      </w:pPr>
      <w:r>
        <w:rPr>
          <w:rFonts w:ascii="Calibri" w:hAnsi="Calibri"/>
          <w:sz w:val="22"/>
        </w:rPr>
        <w:t>Endpoints: POST /lead-intake, POST /lead-intake/webhook/forms</w:t>
      </w:r>
    </w:p>
    <w:p>
      <w:pPr>
        <w:pStyle w:val="ListBullet"/>
        <w:spacing w:after="60"/>
        <w:ind w:left="283"/>
      </w:pPr>
      <w:r>
        <w:rPr>
          <w:rFonts w:ascii="Calibri" w:hAnsi="Calibri"/>
          <w:sz w:val="22"/>
        </w:rPr>
        <w:t>Modelo Lead con campos: firstName, lastName, phone, source, status, tenantId</w:t>
      </w:r>
    </w:p>
    <w:p>
      <w:pPr>
        <w:pStyle w:val="ListBullet"/>
        <w:spacing w:after="60"/>
        <w:ind w:left="283"/>
      </w:pPr>
      <w:r>
        <w:rPr>
          <w:rFonts w:ascii="Calibri" w:hAnsi="Calibri"/>
          <w:sz w:val="22"/>
        </w:rPr>
        <w:t>LeadCreatedEvent publicado para desencadenar flujos posteriores</w:t>
      </w:r>
    </w:p>
    <w:p>
      <w:pPr>
        <w:pStyle w:val="ListBullet"/>
        <w:spacing w:after="60"/>
        <w:ind w:left="283"/>
      </w:pPr>
      <w:r>
        <w:rPr>
          <w:rFonts w:ascii="Calibri" w:hAnsi="Calibri"/>
          <w:sz w:val="22"/>
        </w:rPr>
        <w:t>Guard JWT aplicado en todos los endpoints protegidos</w:t>
      </w:r>
    </w:p>
    <w:p/>
    <w:p>
      <w:pPr>
        <w:pStyle w:val="Heading2"/>
        <w:jc w:val="left"/>
      </w:pPr>
      <w:r>
        <w:rPr>
          <w:rFonts w:ascii="Calibri" w:hAnsi="Calibri"/>
          <w:color w:val="2E74B5"/>
        </w:rPr>
        <w:t>H2 · Lead Router — Asignación Inteligente</w:t>
      </w:r>
    </w:p>
    <w:p>
      <w:pPr>
        <w:spacing w:after="120"/>
      </w:pPr>
      <w:r>
        <w:rPr>
          <w:rFonts w:ascii="Calibri" w:hAnsi="Calibri"/>
          <w:b w:val="0"/>
          <w:i w:val="0"/>
          <w:sz w:val="22"/>
        </w:rPr>
        <w:t>Motor de asignación de leads a agentes dentro del tenant. Evalúa disponibilidad y carga de trabajo para distribuir leads equitativamente. Publica LeadAssignedEvent para notificaciones posteriores.</w:t>
      </w:r>
    </w:p>
    <w:p>
      <w:pPr>
        <w:pStyle w:val="ListBullet"/>
        <w:spacing w:after="60"/>
        <w:ind w:left="283"/>
      </w:pPr>
      <w:r>
        <w:rPr>
          <w:rFonts w:ascii="Calibri" w:hAnsi="Calibri"/>
          <w:sz w:val="22"/>
        </w:rPr>
        <w:t>Endpoint: POST /lead-router/assign</w:t>
      </w:r>
    </w:p>
    <w:p>
      <w:pPr>
        <w:pStyle w:val="ListBullet"/>
        <w:spacing w:after="60"/>
        <w:ind w:left="283"/>
      </w:pPr>
      <w:r>
        <w:rPr>
          <w:rFonts w:ascii="Calibri" w:hAnsi="Calibri"/>
          <w:sz w:val="22"/>
        </w:rPr>
        <w:t>Estrategia round-robin con soporte para carga balanceada</w:t>
      </w:r>
    </w:p>
    <w:p>
      <w:pPr>
        <w:pStyle w:val="ListBullet"/>
        <w:spacing w:after="60"/>
        <w:ind w:left="283"/>
      </w:pPr>
      <w:r>
        <w:rPr>
          <w:rFonts w:ascii="Calibri" w:hAnsi="Calibri"/>
          <w:sz w:val="22"/>
        </w:rPr>
        <w:t>Integrado con el sistema de mensajería para notificación al agente</w:t>
      </w:r>
    </w:p>
    <w:p/>
    <w:p>
      <w:pPr>
        <w:pStyle w:val="Heading2"/>
        <w:jc w:val="left"/>
      </w:pPr>
      <w:r>
        <w:rPr>
          <w:rFonts w:ascii="Calibri" w:hAnsi="Calibri"/>
          <w:color w:val="2E74B5"/>
        </w:rPr>
        <w:t>H3 · Lead Scoring — Calificación Heurística</w:t>
      </w:r>
    </w:p>
    <w:p>
      <w:pPr>
        <w:spacing w:after="120"/>
      </w:pPr>
      <w:r>
        <w:rPr>
          <w:rFonts w:ascii="Calibri" w:hAnsi="Calibri"/>
          <w:b w:val="0"/>
          <w:i w:val="0"/>
          <w:sz w:val="22"/>
        </w:rPr>
        <w:t>Motor de scoring que califica automáticamente cada lead en tres niveles de probabilidad de cierre. El algoritmo pondera múltiples señales sin depender de IA externa, lo que lo hace determinista, auditable y de latencia cero.</w:t>
      </w:r>
    </w:p>
    <w:p>
      <w:pPr>
        <w:pStyle w:val="ListBullet"/>
        <w:spacing w:after="60"/>
        <w:ind w:left="283"/>
      </w:pPr>
      <w:r>
        <w:rPr>
          <w:rFonts w:ascii="Calibri" w:hAnsi="Calibri"/>
          <w:sz w:val="22"/>
        </w:rPr>
        <w:t>Tiers: HOT (alta probabilidad) · WARM (media) · COLD (baja)</w:t>
      </w:r>
    </w:p>
    <w:p>
      <w:pPr>
        <w:pStyle w:val="ListBullet"/>
        <w:spacing w:after="60"/>
        <w:ind w:left="283"/>
      </w:pPr>
      <w:r>
        <w:rPr>
          <w:rFonts w:ascii="Calibri" w:hAnsi="Calibri"/>
          <w:sz w:val="22"/>
        </w:rPr>
        <w:t>Señales consideradas: respuesta en menos de 5 min, fuente del lead, historial de actividad, presupuesto</w:t>
      </w:r>
    </w:p>
    <w:p>
      <w:pPr>
        <w:pStyle w:val="ListBullet"/>
        <w:spacing w:after="60"/>
        <w:ind w:left="283"/>
      </w:pPr>
      <w:r>
        <w:rPr>
          <w:rFonts w:ascii="Calibri" w:hAnsi="Calibri"/>
          <w:sz w:val="22"/>
        </w:rPr>
        <w:t>Endpoints: GET /leads/:id/score, POST /leads/:id/recalculate</w:t>
      </w:r>
    </w:p>
    <w:p>
      <w:pPr>
        <w:pStyle w:val="ListBullet"/>
        <w:spacing w:after="60"/>
        <w:ind w:left="283"/>
      </w:pPr>
      <w:r>
        <w:rPr>
          <w:rFonts w:ascii="Calibri" w:hAnsi="Calibri"/>
          <w:sz w:val="22"/>
        </w:rPr>
        <w:t>Score recalculado automáticamente ante eventos relevantes (mensaje entrante, actualización de estado)</w:t>
      </w:r>
    </w:p>
    <w:p>
      <w:pPr>
        <w:pStyle w:val="ListBullet"/>
        <w:spacing w:after="60"/>
        <w:ind w:left="283"/>
      </w:pPr>
      <w:r>
        <w:rPr>
          <w:rFonts w:ascii="Calibri" w:hAnsi="Calibri"/>
          <w:sz w:val="22"/>
        </w:rPr>
        <w:t>Commit: 7b6d0b8</w:t>
      </w:r>
    </w:p>
    <w:p/>
    <w:p>
      <w:pPr>
        <w:pStyle w:val="Heading2"/>
        <w:jc w:val="left"/>
      </w:pPr>
      <w:r>
        <w:rPr>
          <w:rFonts w:ascii="Calibri" w:hAnsi="Calibri"/>
          <w:color w:val="2E74B5"/>
        </w:rPr>
        <w:t>H4 · Follow-Up Automático — Cadencias de Contacto</w:t>
      </w:r>
    </w:p>
    <w:p>
      <w:pPr>
        <w:spacing w:after="120"/>
      </w:pPr>
      <w:r>
        <w:rPr>
          <w:rFonts w:ascii="Calibri" w:hAnsi="Calibri"/>
          <w:b w:val="0"/>
          <w:i w:val="0"/>
          <w:sz w:val="22"/>
        </w:rPr>
        <w:t>Sistema de seguimiento automático basado en cadencias predefinidas. Cuando un lead es creado, se programan automáticamente follow-ups en los días 1, 3, 7 y 14. Cada follow-up puede ser ejecutado o cancelado manualmente. Al recibir una respuesta del lead, todos los follow-ups pendientes se cancelan automáticamente.</w:t>
      </w:r>
    </w:p>
    <w:p>
      <w:pPr>
        <w:pStyle w:val="ListBullet"/>
        <w:spacing w:after="60"/>
        <w:ind w:left="283"/>
      </w:pPr>
      <w:r>
        <w:rPr>
          <w:rFonts w:ascii="Calibri" w:hAnsi="Calibri"/>
          <w:sz w:val="22"/>
        </w:rPr>
        <w:t>Cola BullMQ con delays programados en Redis</w:t>
      </w:r>
    </w:p>
    <w:p>
      <w:pPr>
        <w:pStyle w:val="ListBullet"/>
        <w:spacing w:after="60"/>
        <w:ind w:left="283"/>
      </w:pPr>
      <w:r>
        <w:rPr>
          <w:rFonts w:ascii="Calibri" w:hAnsi="Calibri"/>
          <w:sz w:val="22"/>
        </w:rPr>
        <w:t>Cadencias: Día 1 · Día 3 · Día 7 · Día 14</w:t>
      </w:r>
    </w:p>
    <w:p>
      <w:pPr>
        <w:pStyle w:val="ListBullet"/>
        <w:spacing w:after="60"/>
        <w:ind w:left="283"/>
      </w:pPr>
      <w:r>
        <w:rPr>
          <w:rFonts w:ascii="Calibri" w:hAnsi="Calibri"/>
          <w:sz w:val="22"/>
        </w:rPr>
        <w:t>Cancelación automática ante LeadMessageReceivedEvent</w:t>
      </w:r>
    </w:p>
    <w:p>
      <w:pPr>
        <w:pStyle w:val="ListBullet"/>
        <w:spacing w:after="60"/>
        <w:ind w:left="283"/>
      </w:pPr>
      <w:r>
        <w:rPr>
          <w:rFonts w:ascii="Calibri" w:hAnsi="Calibri"/>
          <w:sz w:val="22"/>
        </w:rPr>
        <w:t>Endpoints: GET /follow-ups, GET /follow-ups/stats, POST /follow-ups/:id/execute, POST /follow-ups/:id/cancel</w:t>
      </w:r>
    </w:p>
    <w:p>
      <w:pPr>
        <w:pStyle w:val="ListBullet"/>
        <w:spacing w:after="60"/>
        <w:ind w:left="283"/>
      </w:pPr>
      <w:r>
        <w:rPr>
          <w:rFonts w:ascii="Calibri" w:hAnsi="Calibri"/>
          <w:sz w:val="22"/>
        </w:rPr>
        <w:t>UI: Centro de Seguimientos con tabs Pendientes / Vencidos / Ejecutados / Cancelados</w:t>
      </w:r>
    </w:p>
    <w:p/>
    <w:p>
      <w:pPr>
        <w:pStyle w:val="Heading2"/>
        <w:jc w:val="left"/>
      </w:pPr>
      <w:r>
        <w:rPr>
          <w:rFonts w:ascii="Calibri" w:hAnsi="Calibri"/>
          <w:color w:val="2E74B5"/>
        </w:rPr>
        <w:t>H5 · Lead Recovery — Recuperación de Leads Fríos</w:t>
      </w:r>
    </w:p>
    <w:p>
      <w:pPr>
        <w:spacing w:after="120"/>
      </w:pPr>
      <w:r>
        <w:rPr>
          <w:rFonts w:ascii="Calibri" w:hAnsi="Calibri"/>
          <w:b w:val="0"/>
          <w:i w:val="0"/>
          <w:sz w:val="22"/>
        </w:rPr>
        <w:t>Módulo de recuperación de oportunidades perdidas. Detecta on-demand leads que llevan 30+ días sin actividad y no están marcados como perdidos. El corredor puede reactivar o archivar cada candidato manualmente desde el Recovery Center.</w:t>
      </w:r>
    </w:p>
    <w:p>
      <w:pPr>
        <w:pStyle w:val="ListBullet"/>
        <w:spacing w:after="60"/>
        <w:ind w:left="283"/>
      </w:pPr>
      <w:r>
        <w:rPr>
          <w:rFonts w:ascii="Calibri" w:hAnsi="Calibri"/>
          <w:sz w:val="22"/>
        </w:rPr>
        <w:t>Detección on-demand (sin cron): GET /lead-recovery/candidates</w:t>
      </w:r>
    </w:p>
    <w:p>
      <w:pPr>
        <w:pStyle w:val="ListBullet"/>
        <w:spacing w:after="60"/>
        <w:ind w:left="283"/>
      </w:pPr>
      <w:r>
        <w:rPr>
          <w:rFonts w:ascii="Calibri" w:hAnsi="Calibri"/>
          <w:sz w:val="22"/>
        </w:rPr>
        <w:t>Umbrales: DAYS_30 (30–59 días) · DAYS_60 (60–89 días) · DAYS_90 (90+ días)</w:t>
      </w:r>
    </w:p>
    <w:p>
      <w:pPr>
        <w:pStyle w:val="ListBullet"/>
        <w:spacing w:after="60"/>
        <w:ind w:left="283"/>
      </w:pPr>
      <w:r>
        <w:rPr>
          <w:rFonts w:ascii="Calibri" w:hAnsi="Calibri"/>
          <w:sz w:val="22"/>
        </w:rPr>
        <w:t>Reactivar: crea LeadRecovery con outcome=REACTIVATED, actualiza status a CONTACTADO, publica LeadRecoveredEvent</w:t>
      </w:r>
    </w:p>
    <w:p>
      <w:pPr>
        <w:pStyle w:val="ListBullet"/>
        <w:spacing w:after="60"/>
        <w:ind w:left="283"/>
      </w:pPr>
      <w:r>
        <w:rPr>
          <w:rFonts w:ascii="Calibri" w:hAnsi="Calibri"/>
          <w:sz w:val="22"/>
        </w:rPr>
        <w:t>Archivar: crea LeadRecovery con outcome=LOST, actualiza status a PERDIDO</w:t>
      </w:r>
    </w:p>
    <w:p>
      <w:pPr>
        <w:pStyle w:val="ListBullet"/>
        <w:spacing w:after="60"/>
        <w:ind w:left="283"/>
      </w:pPr>
      <w:r>
        <w:rPr>
          <w:rFonts w:ascii="Calibri" w:hAnsi="Calibri"/>
          <w:sz w:val="22"/>
        </w:rPr>
        <w:t>Guarda de negocio: NotFoundException si el lead no es candidato válido</w:t>
      </w:r>
    </w:p>
    <w:p>
      <w:pPr>
        <w:pStyle w:val="ListBullet"/>
        <w:spacing w:after="60"/>
        <w:ind w:left="283"/>
      </w:pPr>
      <w:r>
        <w:rPr>
          <w:rFonts w:ascii="Calibri" w:hAnsi="Calibri"/>
          <w:sz w:val="22"/>
        </w:rPr>
        <w:t>UI: Recovery Center con 4 cards de estadísticas + tabla de candidatos con acciones</w:t>
      </w:r>
    </w:p>
    <w:p>
      <w:pPr>
        <w:pStyle w:val="ListBullet"/>
        <w:spacing w:after="60"/>
        <w:ind w:left="283"/>
      </w:pPr>
      <w:r>
        <w:rPr>
          <w:rFonts w:ascii="Calibri" w:hAnsi="Calibri"/>
          <w:sz w:val="22"/>
        </w:rPr>
        <w:t>Sin migración requerida: modelo LeadRecovery preexistente en el schema</w:t>
      </w:r>
    </w:p>
    <w:p>
      <w:pPr>
        <w:pStyle w:val="ListBullet"/>
        <w:spacing w:after="60"/>
        <w:ind w:left="283"/>
      </w:pPr>
      <w:r>
        <w:rPr>
          <w:rFonts w:ascii="Calibri" w:hAnsi="Calibri"/>
          <w:sz w:val="22"/>
        </w:rPr>
        <w:t>8 tests unitarios que verifican todos los casos, incluyendo aislamiento H1–H4</w:t>
      </w:r>
    </w:p>
    <w:p>
      <w:pPr>
        <w:pStyle w:val="ListBullet"/>
        <w:spacing w:after="60"/>
        <w:ind w:left="283"/>
      </w:pPr>
      <w:r>
        <w:rPr>
          <w:rFonts w:ascii="Calibri" w:hAnsi="Calibri"/>
          <w:sz w:val="22"/>
        </w:rPr>
        <w:t>Commit: fff8413</w:t>
      </w:r>
    </w:p>
    <w:p/>
    <w:p>
      <w:pPr>
        <w:pStyle w:val="Heading1"/>
        <w:jc w:val="left"/>
      </w:pPr>
      <w:r>
        <w:rPr>
          <w:rFonts w:ascii="Calibri" w:hAnsi="Calibri"/>
          <w:color w:val="1F3864"/>
        </w:rPr>
        <w:t>4. Auditoría Técnica — H5 Lead Recovery</w:t>
      </w:r>
    </w:p>
    <w:p>
      <w:pPr>
        <w:spacing w:after="40"/>
        <w:pBdr>
          <w:bottom w:val="single" w:sz="6" w:space="1" w:color="4472C4"/>
        </w:pBdr>
      </w:pPr>
    </w:p>
    <w:p/>
    <w:p>
      <w:pPr>
        <w:spacing w:after="120"/>
      </w:pPr>
      <w:r>
        <w:rPr>
          <w:rFonts w:ascii="Calibri" w:hAnsi="Calibri"/>
          <w:b w:val="0"/>
          <w:i w:val="0"/>
          <w:sz w:val="22"/>
        </w:rPr>
        <w:t>Se realizó una auditoría completa de H5 contra los estándares de calidad del proyecto (Fases 3, 4, 6, 8 y 11). A continuación se detallan los resultados de los 8 puntos de verificación.</w:t>
      </w:r>
    </w:p>
    <w:p/>
    <w:p>
      <w:pPr>
        <w:pStyle w:val="Heading2"/>
        <w:jc w:val="left"/>
      </w:pPr>
      <w:r>
        <w:rPr>
          <w:rFonts w:ascii="Calibri" w:hAnsi="Calibri"/>
          <w:color w:val="2E74B5"/>
        </w:rPr>
        <w:t>4.1 Puntos de Verificación</w:t>
      </w:r>
    </w:p>
    <w:p>
      <w:pPr>
        <w:spacing w:after="40"/>
      </w:pPr>
      <w:r>
        <w:rPr>
          <w:rFonts w:ascii="Calibri" w:hAnsi="Calibri"/>
          <w:b/>
          <w:sz w:val="22"/>
        </w:rPr>
        <w:t>✅ Sin regresiones en H1–H4</w:t>
        <w:br/>
      </w:r>
      <w:r>
        <w:rPr>
          <w:rFonts w:ascii="Calibri" w:hAnsi="Calibri"/>
          <w:i/>
          <w:color w:val="595959"/>
          <w:sz w:val="20"/>
        </w:rPr>
        <w:t>LeadRecoveryModule no importa LeadsModule ni FollowUpModule. Accede directamente a las tablas leads y leadRecovery vía PrismaService, eliminando el riesgo de dependencias circulares. El test de aislamiento (H1–H4) pasa exitosamente.</w:t>
      </w:r>
    </w:p>
    <w:p/>
    <w:p>
      <w:pPr>
        <w:spacing w:after="40"/>
      </w:pPr>
      <w:r>
        <w:rPr>
          <w:rFonts w:ascii="Calibri" w:hAnsi="Calibri"/>
          <w:b/>
          <w:sz w:val="22"/>
        </w:rPr>
        <w:t>✅ Reactivar preserva trazabilidad</w:t>
        <w:br/>
      </w:r>
      <w:r>
        <w:rPr>
          <w:rFonts w:ascii="Calibri" w:hAnsi="Calibri"/>
          <w:i/>
          <w:color w:val="595959"/>
          <w:sz w:val="20"/>
        </w:rPr>
        <w:t>El flujo reactivar→Lead mantiene el historial completo: el registro LeadRecovery con outcome REACTIVATED queda persistido, el status del lead cambia a CONTACTADO (no borra el historial), y LeadRecoveredEvent es publicado para potencial consumo futuro.</w:t>
      </w:r>
    </w:p>
    <w:p/>
    <w:p>
      <w:pPr>
        <w:spacing w:after="40"/>
      </w:pPr>
      <w:r>
        <w:rPr>
          <w:rFonts w:ascii="Calibri" w:hAnsi="Calibri"/>
          <w:b/>
          <w:sz w:val="22"/>
        </w:rPr>
        <w:t>✅ Sin leads duplicados</w:t>
        <w:br/>
      </w:r>
      <w:r>
        <w:rPr>
          <w:rFonts w:ascii="Calibri" w:hAnsi="Calibri"/>
          <w:i/>
          <w:color w:val="595959"/>
          <w:sz w:val="20"/>
        </w:rPr>
        <w:t>findCandidateById valida que el lead exista Y sea candidato válido antes de cualquier escritura. Si ya fue procesado, lanza NotFoundException. No hay path que cree dos registros para el mismo lead.</w:t>
      </w:r>
    </w:p>
    <w:p/>
    <w:p>
      <w:pPr>
        <w:spacing w:after="40"/>
      </w:pPr>
      <w:r>
        <w:rPr>
          <w:rFonts w:ascii="Calibri" w:hAnsi="Calibri"/>
          <w:b/>
          <w:sz w:val="22"/>
        </w:rPr>
        <w:t>✅ LeadRecoveredEvent correctamente desacoplado</w:t>
        <w:br/>
      </w:r>
      <w:r>
        <w:rPr>
          <w:rFonts w:ascii="Calibri" w:hAnsi="Calibri"/>
          <w:i/>
          <w:color w:val="595959"/>
          <w:sz w:val="20"/>
        </w:rPr>
        <w:t>El evento existe con estructura correcta (name='lead.recovered', tenantId, leadId, occurredAt). No tiene listener en H5, lo cual es intencional — está listo para H6+ sin deuda técnica.</w:t>
      </w:r>
    </w:p>
    <w:p/>
    <w:p>
      <w:pPr>
        <w:spacing w:after="40"/>
      </w:pPr>
      <w:r>
        <w:rPr>
          <w:rFonts w:ascii="Calibri" w:hAnsi="Calibri"/>
          <w:b/>
          <w:sz w:val="22"/>
        </w:rPr>
        <w:t>✅ UX Recovery Center — 'acción &gt; información'</w:t>
        <w:br/>
      </w:r>
      <w:r>
        <w:rPr>
          <w:rFonts w:ascii="Calibri" w:hAnsi="Calibri"/>
          <w:i/>
          <w:color w:val="595959"/>
          <w:sz w:val="20"/>
        </w:rPr>
        <w:t>Los botones Reactivar y Archivar son el elemento visual dominante en cada fila. La tabla muestra exactamente la información necesaria para tomar la decisión. No hay pasos innecesarios. CRÍTICO RESUELTO: se agregó confirm() antes de archivar y onError callbacks en las mutaciones.</w:t>
      </w:r>
    </w:p>
    <w:p/>
    <w:p>
      <w:pPr>
        <w:spacing w:after="40"/>
      </w:pPr>
      <w:r>
        <w:rPr>
          <w:rFonts w:ascii="Calibri" w:hAnsi="Calibri"/>
          <w:b/>
          <w:sz w:val="22"/>
        </w:rPr>
        <w:t>✅ Multi-tenancy en todos los endpoints</w:t>
        <w:br/>
      </w:r>
      <w:r>
        <w:rPr>
          <w:rFonts w:ascii="Calibri" w:hAnsi="Calibri"/>
          <w:i/>
          <w:color w:val="595959"/>
          <w:sz w:val="20"/>
        </w:rPr>
        <w:t>Todos los endpoints usan @UseGuards(JwtAuthGuard) y ctx.requireTenantId(). El repositorio filtra por tenantId en cada query. updateLeadStatus usa updateMany con WHERE {id, tenantId} — protección cross-tenant garantizada.</w:t>
      </w:r>
    </w:p>
    <w:p/>
    <w:p>
      <w:pPr>
        <w:spacing w:after="40"/>
      </w:pPr>
      <w:r>
        <w:rPr>
          <w:rFonts w:ascii="Calibri" w:hAnsi="Calibri"/>
          <w:b/>
          <w:sz w:val="22"/>
        </w:rPr>
        <w:t>✅ Sin simplificaciones peligrosas</w:t>
        <w:br/>
      </w:r>
      <w:r>
        <w:rPr>
          <w:rFonts w:ascii="Calibri" w:hAnsi="Calibri"/>
          <w:i/>
          <w:color w:val="595959"/>
          <w:sz w:val="20"/>
        </w:rPr>
        <w:t>findCandidates realiza 2 queries en paralelo (Promise.all) para candidatos y recoveries pendientes. El filtrado en memoria es seguro dado el volumen esperado. resolveThreshold es una función pura testeable sin efectos secundarios.</w:t>
      </w:r>
    </w:p>
    <w:p/>
    <w:p>
      <w:pPr>
        <w:spacing w:after="40"/>
      </w:pPr>
      <w:r>
        <w:rPr>
          <w:rFonts w:ascii="Calibri" w:hAnsi="Calibri"/>
          <w:b/>
          <w:sz w:val="22"/>
        </w:rPr>
        <w:t>✅ Diseño extensible a Recovery Eligibility Engine</w:t>
        <w:br/>
      </w:r>
      <w:r>
        <w:rPr>
          <w:rFonts w:ascii="Calibri" w:hAnsi="Calibri"/>
          <w:i/>
          <w:color w:val="595959"/>
          <w:sz w:val="20"/>
        </w:rPr>
        <w:t>La lógica de elegibilidad está encapsulada en findCandidateById del repositorio. Agregar reglas adicionales (score, segmento, canal) solo requiere modificar esa función sin cambiar los Use Cases ni los controladores.</w:t>
      </w:r>
    </w:p>
    <w:p/>
    <w:p>
      <w:pPr>
        <w:pStyle w:val="Heading2"/>
        <w:jc w:val="left"/>
      </w:pPr>
      <w:r>
        <w:rPr>
          <w:rFonts w:ascii="Calibri" w:hAnsi="Calibri"/>
          <w:color w:val="2E74B5"/>
        </w:rPr>
        <w:t>4.2 Deuda Técnica</w:t>
      </w:r>
    </w:p>
    <w:p>
      <w:pPr>
        <w:spacing w:after="120"/>
      </w:pPr>
      <w:r>
        <w:rPr>
          <w:rFonts w:ascii="Calibri" w:hAnsi="Calibri"/>
          <w:b/>
          <w:i w:val="0"/>
          <w:sz w:val="22"/>
        </w:rPr>
        <w:t>Deuda técnica aceptable (no bloquea H6):</w:t>
      </w:r>
    </w:p>
    <w:p>
      <w:pPr>
        <w:pStyle w:val="ListBullet"/>
        <w:spacing w:after="60"/>
        <w:ind w:left="283"/>
      </w:pPr>
      <w:r>
        <w:rPr>
          <w:rFonts w:ascii="Calibri" w:hAnsi="Calibri"/>
          <w:sz w:val="22"/>
        </w:rPr>
        <w:t>stats() llama a findCandidates() internamente → 3 queries en lugar de 2. Optimizable con una query SQL agregada cuando el volumen lo justifique.</w:t>
      </w:r>
    </w:p>
    <w:p>
      <w:pPr>
        <w:pStyle w:val="ListBullet"/>
        <w:spacing w:after="60"/>
        <w:ind w:left="283"/>
      </w:pPr>
      <w:r>
        <w:rPr>
          <w:rFonts w:ascii="Calibri" w:hAnsi="Calibri"/>
          <w:sz w:val="22"/>
        </w:rPr>
        <w:t>Sin paginación en /candidates. Aceptable para corredoras pequeñas (&lt;500 leads). Agregar cursor-based pagination en H6+.</w:t>
      </w:r>
    </w:p>
    <w:p>
      <w:pPr>
        <w:pStyle w:val="ListBullet"/>
        <w:spacing w:after="60"/>
        <w:ind w:left="283"/>
      </w:pPr>
      <w:r>
        <w:rPr>
          <w:rFonts w:ascii="Calibri" w:hAnsi="Calibri"/>
          <w:sz w:val="22"/>
        </w:rPr>
        <w:t>El estado 'Sin respuesta' no se puede registrar desde la UI. Solo existe a nivel de datos. UX a completar en iteración futura.</w:t>
      </w:r>
    </w:p>
    <w:p/>
    <w:p>
      <w:pPr>
        <w:spacing w:after="120"/>
      </w:pPr>
      <w:r>
        <w:rPr>
          <w:rFonts w:ascii="Calibri" w:hAnsi="Calibri"/>
          <w:b/>
          <w:i w:val="0"/>
          <w:color w:val="C00000"/>
          <w:sz w:val="22"/>
        </w:rPr>
        <w:t>Deuda técnica crítica — RESUELTA durante la auditoría:</w:t>
      </w:r>
    </w:p>
    <w:p>
      <w:pPr>
        <w:pStyle w:val="ListBullet"/>
        <w:spacing w:after="60"/>
        <w:ind w:left="283"/>
      </w:pPr>
      <w:r>
        <w:rPr>
          <w:rFonts w:ascii="Calibri" w:hAnsi="Calibri"/>
          <w:sz w:val="22"/>
        </w:rPr>
        <w:t>RESUELTO: Acción destructiva sin confirmación. Se agregó confirm() antes de archivar un lead.</w:t>
      </w:r>
    </w:p>
    <w:p>
      <w:pPr>
        <w:pStyle w:val="ListBullet"/>
        <w:spacing w:after="60"/>
        <w:ind w:left="283"/>
      </w:pPr>
      <w:r>
        <w:rPr>
          <w:rFonts w:ascii="Calibri" w:hAnsi="Calibri"/>
          <w:sz w:val="22"/>
        </w:rPr>
        <w:t>RESUELTO: Sin feedback de error al usuario en mutaciones. Se agregaron onError callbacks con alert() en useReactivateLead() y useArchiveLead().</w:t>
      </w:r>
    </w:p>
    <w:p/>
    <w:p>
      <w:pPr>
        <w:pStyle w:val="Heading2"/>
        <w:jc w:val="left"/>
      </w:pPr>
      <w:r>
        <w:rPr>
          <w:rFonts w:ascii="Calibri" w:hAnsi="Calibri"/>
          <w:color w:val="2E74B5"/>
        </w:rPr>
        <w:t>4.3 Veredicto Final</w:t>
      </w:r>
    </w:p>
    <w:p>
      <w:r>
        <w:rPr>
          <w:rFonts w:ascii="Calibri" w:hAnsi="Calibri"/>
          <w:b/>
          <w:color w:val="FFFFFF"/>
          <w:sz w:val="24"/>
          <w:shd w:val="clear" w:color="auto" w:fill="2E7D32"/>
        </w:rPr>
        <w:t xml:space="preserve">  APROBADO CON OBSERVACIONES → CORREGIDO → APROBADO  </w:t>
      </w:r>
    </w:p>
    <w:p>
      <w:pPr>
        <w:spacing w:after="120"/>
      </w:pPr>
      <w:r>
        <w:rPr>
          <w:rFonts w:ascii="Calibri" w:hAnsi="Calibri"/>
          <w:b w:val="0"/>
          <w:i w:val="0"/>
          <w:sz w:val="22"/>
        </w:rPr>
        <w:t>Todos los puntos críticos fueron resueltos durante la auditoría. La deuda técnica restante es aceptable y no bloquea el desarrollo de H6.</w:t>
      </w:r>
    </w:p>
    <w:p/>
    <w:p>
      <w:pPr>
        <w:pStyle w:val="Heading1"/>
        <w:jc w:val="left"/>
      </w:pPr>
      <w:r>
        <w:rPr>
          <w:rFonts w:ascii="Calibri" w:hAnsi="Calibri"/>
          <w:color w:val="1F3864"/>
        </w:rPr>
        <w:t>5. Configuración de Entorno Local</w:t>
      </w:r>
    </w:p>
    <w:p>
      <w:pPr>
        <w:spacing w:after="40"/>
        <w:pBdr>
          <w:bottom w:val="single" w:sz="6" w:space="1" w:color="4472C4"/>
        </w:pBdr>
      </w:pPr>
    </w:p>
    <w:p/>
    <w:p>
      <w:pPr>
        <w:spacing w:after="120"/>
      </w:pPr>
      <w:r>
        <w:rPr>
          <w:rFonts w:ascii="Calibri" w:hAnsi="Calibri"/>
          <w:b w:val="0"/>
          <w:i w:val="0"/>
          <w:sz w:val="22"/>
        </w:rPr>
        <w:t>Durante las sesiones de trabajo se identificaron y resolvieron varios problemas de entorno que impedían levantar la API localmente. Se documentan aquí para referencia futura.</w:t>
      </w:r>
    </w:p>
    <w:p/>
    <w:p>
      <w:pPr>
        <w:pStyle w:val="Heading2"/>
        <w:jc w:val="left"/>
      </w:pPr>
      <w:r>
        <w:rPr>
          <w:rFonts w:ascii="Calibri" w:hAnsi="Calibri"/>
          <w:color w:val="2E74B5"/>
        </w:rPr>
        <w:t>5.1 Problema: .env no cargado en NestJS</w:t>
      </w:r>
    </w:p>
    <w:p>
      <w:pPr>
        <w:spacing w:after="120"/>
      </w:pPr>
      <w:r>
        <w:rPr>
          <w:rFonts w:ascii="Calibri" w:hAnsi="Calibri"/>
          <w:b w:val="0"/>
          <w:i w:val="0"/>
          <w:sz w:val="22"/>
        </w:rPr>
        <w:t>Síntoma: Prisma lanzaba P1012 (DATABASE_URL no encontrada) al iniciar con pnpm run dev.</w:t>
      </w:r>
    </w:p>
    <w:p>
      <w:pPr>
        <w:spacing w:after="120"/>
      </w:pPr>
      <w:r>
        <w:rPr>
          <w:rFonts w:ascii="Calibri" w:hAnsi="Calibri"/>
          <w:b w:val="0"/>
          <w:i w:val="0"/>
          <w:sz w:val="22"/>
        </w:rPr>
        <w:t>Causa raíz: AppModule no tenía ConfigModule — NestJS no carga .env automáticamente.</w:t>
      </w:r>
    </w:p>
    <w:p>
      <w:pPr>
        <w:spacing w:after="120"/>
      </w:pPr>
      <w:r>
        <w:rPr>
          <w:rFonts w:ascii="Calibri" w:hAnsi="Calibri"/>
          <w:b w:val="0"/>
          <w:i w:val="0"/>
          <w:sz w:val="22"/>
        </w:rPr>
        <w:t>Solución aplicada: Se instaló @nestjs/config y se agregó ConfigModule.forRoot({ isGlobal: true }) como primer import en AppModule. Esto garantiza que el .env se carga antes de que cualquier otro módulo intente leer process.env.</w:t>
      </w:r>
    </w:p>
    <w:p/>
    <w:p>
      <w:pPr>
        <w:pStyle w:val="Heading2"/>
        <w:jc w:val="left"/>
      </w:pPr>
      <w:r>
        <w:rPr>
          <w:rFonts w:ascii="Calibri" w:hAnsi="Calibri"/>
          <w:color w:val="2E74B5"/>
        </w:rPr>
        <w:t>5.2 Problema: PostgreSQL 17 vs 18 en puertos distintos</w:t>
      </w:r>
    </w:p>
    <w:p>
      <w:pPr>
        <w:spacing w:after="120"/>
      </w:pPr>
      <w:r>
        <w:rPr>
          <w:rFonts w:ascii="Calibri" w:hAnsi="Calibri"/>
          <w:b w:val="0"/>
          <w:i w:val="0"/>
          <w:sz w:val="22"/>
        </w:rPr>
        <w:t>Síntoma: Prisma P1000 (autenticación fallida) aún con usuario clientra creado.</w:t>
      </w:r>
    </w:p>
    <w:p>
      <w:pPr>
        <w:spacing w:after="120"/>
      </w:pPr>
      <w:r>
        <w:rPr>
          <w:rFonts w:ascii="Calibri" w:hAnsi="Calibri"/>
          <w:b w:val="0"/>
          <w:i w:val="0"/>
          <w:sz w:val="22"/>
        </w:rPr>
        <w:t>Causa raíz: El equipo tiene dos instancias de PostgreSQL instaladas — versión 17 en el puerto 5433 y versión 18 en el puerto 5432. El .env apuntaba al 5432 (PG18), pero el usuario fue creado en PG17 (puerto 5433).</w:t>
      </w:r>
    </w:p>
    <w:p>
      <w:pPr>
        <w:spacing w:after="120"/>
      </w:pPr>
      <w:r>
        <w:rPr>
          <w:rFonts w:ascii="Calibri" w:hAnsi="Calibri"/>
          <w:b w:val="0"/>
          <w:i w:val="0"/>
          <w:sz w:val="22"/>
        </w:rPr>
        <w:t>Solución aplicada: Se actualizó DATABASE_URL en apps/api/.env a postgresql://clientra:clientra@localhost:5433/clientra?schema=public. Se ejecutaron las migraciones (pnpm run db:deploy) y el seed (pnpm run db:seed) contra la instancia correcta.</w:t>
      </w:r>
    </w:p>
    <w:p/>
    <w:p>
      <w:pPr>
        <w:pStyle w:val="Heading2"/>
        <w:jc w:val="left"/>
      </w:pPr>
      <w:r>
        <w:rPr>
          <w:rFonts w:ascii="Calibri" w:hAnsi="Calibri"/>
          <w:color w:val="2E74B5"/>
        </w:rPr>
        <w:t>5.3 Estado de servicios en entorno local</w:t>
      </w:r>
    </w:p>
    <w:tbl>
      <w:tblPr>
        <w:tblStyle w:val="TableGrid"/>
        <w:tblW w:type="auto" w:w="0"/>
        <w:tblLook w:firstColumn="1" w:firstRow="1" w:lastColumn="0" w:lastRow="0" w:noHBand="0" w:noVBand="1" w:val="04A0"/>
      </w:tblPr>
      <w:tblGrid>
        <w:gridCol w:w="2835"/>
        <w:gridCol w:w="6236"/>
      </w:tblGrid>
      <w:tr>
        <w:trPr>
          <w:trHeight w:val="397"/>
        </w:trPr>
        <w:tc>
          <w:tcPr>
            <w:tcW w:type="dxa" w:w="2835"/>
            <w:shd w:val="clear" w:color="auto" w:fill="EBF3FB"/>
          </w:tcPr>
          <w:p>
            <w:r>
              <w:rPr>
                <w:rFonts w:ascii="Calibri" w:hAnsi="Calibri"/>
                <w:b/>
                <w:sz w:val="20"/>
              </w:rPr>
              <w:t>PostgreSQL 17 (puerto 5433)</w:t>
            </w:r>
          </w:p>
        </w:tc>
        <w:tc>
          <w:tcPr>
            <w:tcW w:type="dxa" w:w="6236"/>
            <w:shd w:val="clear" w:color="auto" w:fill="EBF3FB"/>
          </w:tcPr>
          <w:p>
            <w:r>
              <w:rPr>
                <w:rFonts w:ascii="Calibri" w:hAnsi="Calibri"/>
                <w:sz w:val="20"/>
              </w:rPr>
              <w:t>✅ Corriendo — usuario clientra activo, schema migrado, seed aplicado</w:t>
            </w:r>
          </w:p>
        </w:tc>
      </w:tr>
      <w:tr>
        <w:trPr>
          <w:trHeight w:val="397"/>
        </w:trPr>
        <w:tc>
          <w:tcPr>
            <w:tcW w:type="dxa" w:w="2835"/>
            <w:shd w:val="clear" w:color="auto" w:fill="FFFFFF"/>
          </w:tcPr>
          <w:p>
            <w:r>
              <w:rPr>
                <w:rFonts w:ascii="Calibri" w:hAnsi="Calibri"/>
                <w:b/>
                <w:sz w:val="20"/>
              </w:rPr>
              <w:t>PostgreSQL 18 (puerto 5432)</w:t>
            </w:r>
          </w:p>
        </w:tc>
        <w:tc>
          <w:tcPr>
            <w:tcW w:type="dxa" w:w="6236"/>
            <w:shd w:val="clear" w:color="auto" w:fill="FFFFFF"/>
          </w:tcPr>
          <w:p>
            <w:r>
              <w:rPr>
                <w:rFonts w:ascii="Calibri" w:hAnsi="Calibri"/>
                <w:sz w:val="20"/>
              </w:rPr>
              <w:t>⚠️  Corriendo — sin configurar para CLIENTRA</w:t>
            </w:r>
          </w:p>
        </w:tc>
      </w:tr>
      <w:tr>
        <w:trPr>
          <w:trHeight w:val="397"/>
        </w:trPr>
        <w:tc>
          <w:tcPr>
            <w:tcW w:type="dxa" w:w="2835"/>
            <w:shd w:val="clear" w:color="auto" w:fill="EBF3FB"/>
          </w:tcPr>
          <w:p>
            <w:r>
              <w:rPr>
                <w:rFonts w:ascii="Calibri" w:hAnsi="Calibri"/>
                <w:b/>
                <w:sz w:val="20"/>
              </w:rPr>
              <w:t>Redis (puerto 6379)</w:t>
            </w:r>
          </w:p>
        </w:tc>
        <w:tc>
          <w:tcPr>
            <w:tcW w:type="dxa" w:w="6236"/>
            <w:shd w:val="clear" w:color="auto" w:fill="EBF3FB"/>
          </w:tcPr>
          <w:p>
            <w:r>
              <w:rPr>
                <w:rFonts w:ascii="Calibri" w:hAnsi="Calibri"/>
                <w:sz w:val="20"/>
              </w:rPr>
              <w:t>❌ No disponible — requiere Docker o instalación manual</w:t>
            </w:r>
          </w:p>
        </w:tc>
      </w:tr>
      <w:tr>
        <w:trPr>
          <w:trHeight w:val="397"/>
        </w:trPr>
        <w:tc>
          <w:tcPr>
            <w:tcW w:type="dxa" w:w="2835"/>
            <w:shd w:val="clear" w:color="auto" w:fill="FFFFFF"/>
          </w:tcPr>
          <w:p>
            <w:r>
              <w:rPr>
                <w:rFonts w:ascii="Calibri" w:hAnsi="Calibri"/>
                <w:b/>
                <w:sz w:val="20"/>
              </w:rPr>
              <w:t>API NestJS (puerto 4000)</w:t>
            </w:r>
          </w:p>
        </w:tc>
        <w:tc>
          <w:tcPr>
            <w:tcW w:type="dxa" w:w="6236"/>
            <w:shd w:val="clear" w:color="auto" w:fill="FFFFFF"/>
          </w:tcPr>
          <w:p>
            <w:r>
              <w:rPr>
                <w:rFonts w:ascii="Calibri" w:hAnsi="Calibri"/>
                <w:sz w:val="20"/>
              </w:rPr>
              <w:t>✅ Funcional — ConfigModule carga .env, Prisma conectado</w:t>
            </w:r>
          </w:p>
        </w:tc>
      </w:tr>
      <w:tr>
        <w:trPr>
          <w:trHeight w:val="397"/>
        </w:trPr>
        <w:tc>
          <w:tcPr>
            <w:tcW w:type="dxa" w:w="2835"/>
            <w:shd w:val="clear" w:color="auto" w:fill="EBF3FB"/>
          </w:tcPr>
          <w:p>
            <w:r>
              <w:rPr>
                <w:rFonts w:ascii="Calibri" w:hAnsi="Calibri"/>
                <w:b/>
                <w:sz w:val="20"/>
              </w:rPr>
              <w:t>Web Next.js (puerto 3000)</w:t>
            </w:r>
          </w:p>
        </w:tc>
        <w:tc>
          <w:tcPr>
            <w:tcW w:type="dxa" w:w="6236"/>
            <w:shd w:val="clear" w:color="auto" w:fill="EBF3FB"/>
          </w:tcPr>
          <w:p>
            <w:r>
              <w:rPr>
                <w:rFonts w:ascii="Calibri" w:hAnsi="Calibri"/>
                <w:sz w:val="20"/>
              </w:rPr>
              <w:t>✅ Funcional — build producción H1–H5 corriendo</w:t>
            </w:r>
          </w:p>
        </w:tc>
      </w:tr>
      <w:tr>
        <w:trPr>
          <w:trHeight w:val="397"/>
        </w:trPr>
        <w:tc>
          <w:tcPr>
            <w:tcW w:type="dxa" w:w="2835"/>
            <w:shd w:val="clear" w:color="auto" w:fill="FFFFFF"/>
          </w:tcPr>
          <w:p>
            <w:r>
              <w:rPr>
                <w:rFonts w:ascii="Calibri" w:hAnsi="Calibri"/>
                <w:b/>
                <w:sz w:val="20"/>
              </w:rPr>
              <w:t>Docker Desktop</w:t>
            </w:r>
          </w:p>
        </w:tc>
        <w:tc>
          <w:tcPr>
            <w:tcW w:type="dxa" w:w="6236"/>
            <w:shd w:val="clear" w:color="auto" w:fill="FFFFFF"/>
          </w:tcPr>
          <w:p>
            <w:r>
              <w:rPr>
                <w:rFonts w:ascii="Calibri" w:hAnsi="Calibri"/>
                <w:sz w:val="20"/>
              </w:rPr>
              <w:t>⚠️  Instalado pero con engine lento en iniciar</w:t>
            </w:r>
          </w:p>
        </w:tc>
      </w:tr>
    </w:tbl>
    <w:p/>
    <w:p>
      <w:pPr>
        <w:spacing w:after="120"/>
      </w:pPr>
      <w:r>
        <w:rPr>
          <w:rFonts w:ascii="Calibri" w:hAnsi="Calibri"/>
          <w:b w:val="0"/>
          <w:i/>
          <w:color w:val="595959"/>
          <w:sz w:val="22"/>
        </w:rPr>
        <w:t>Nota: Los follow-ups automáticos (H4) requieren Redis para que BullMQ encole los jobs. Sin Redis el app arranca normalmente pero no programa seguimientos. Para activar Redis: docker compose up -d redis (una vez que Docker Desktop esté completamente iniciado).</w:t>
      </w:r>
    </w:p>
    <w:p/>
    <w:p>
      <w:pPr>
        <w:pStyle w:val="Heading1"/>
        <w:jc w:val="left"/>
      </w:pPr>
      <w:r>
        <w:rPr>
          <w:rFonts w:ascii="Calibri" w:hAnsi="Calibri"/>
          <w:color w:val="1F3864"/>
        </w:rPr>
        <w:t>6. Resultado del Run — Pruebas End-to-End</w:t>
      </w:r>
    </w:p>
    <w:p>
      <w:pPr>
        <w:spacing w:after="40"/>
        <w:pBdr>
          <w:bottom w:val="single" w:sz="6" w:space="1" w:color="4472C4"/>
        </w:pBdr>
      </w:pPr>
    </w:p>
    <w:p/>
    <w:p>
      <w:pPr>
        <w:spacing w:after="120"/>
      </w:pPr>
      <w:r>
        <w:rPr>
          <w:rFonts w:ascii="Calibri" w:hAnsi="Calibri"/>
          <w:b w:val="0"/>
          <w:i w:val="0"/>
          <w:sz w:val="22"/>
        </w:rPr>
        <w:t>Se ejecutaron pruebas end-to-end con Playwright (headless Chromium) contra la app en producción (Next.js build + NestJS + PostgreSQL 17 con datos de seed). A continuación se presenta el resultado de cada pantalla verificada.</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r>
              <w:rPr>
                <w:rFonts w:ascii="Calibri" w:hAnsi="Calibri"/>
                <w:b/>
                <w:color w:val="FFFFFF"/>
                <w:sz w:val="20"/>
              </w:rPr>
              <w:t>Pantalla</w:t>
            </w:r>
          </w:p>
        </w:tc>
        <w:tc>
          <w:tcPr>
            <w:tcW w:type="dxa" w:w="3041"/>
            <w:shd w:val="clear" w:color="auto" w:fill="1F3864"/>
          </w:tcPr>
          <w:p>
            <w:r>
              <w:rPr>
                <w:rFonts w:ascii="Calibri" w:hAnsi="Calibri"/>
                <w:b/>
                <w:color w:val="FFFFFF"/>
                <w:sz w:val="20"/>
              </w:rPr>
              <w:t>Estado</w:t>
            </w:r>
          </w:p>
        </w:tc>
        <w:tc>
          <w:tcPr>
            <w:tcW w:type="dxa" w:w="3041"/>
            <w:shd w:val="clear" w:color="auto" w:fill="1F3864"/>
          </w:tcPr>
          <w:p>
            <w:r>
              <w:rPr>
                <w:rFonts w:ascii="Calibri" w:hAnsi="Calibri"/>
                <w:b/>
                <w:color w:val="FFFFFF"/>
                <w:sz w:val="20"/>
              </w:rPr>
              <w:t>Observaciones</w:t>
            </w:r>
          </w:p>
        </w:tc>
      </w:tr>
      <w:tr>
        <w:tc>
          <w:tcPr>
            <w:tcW w:type="dxa" w:w="3041"/>
            <w:shd w:val="clear" w:color="auto" w:fill="EBF3FB"/>
          </w:tcPr>
          <w:p>
            <w:r>
              <w:rPr>
                <w:rFonts w:ascii="Calibri" w:hAnsi="Calibri"/>
                <w:sz w:val="20"/>
              </w:rPr>
              <w:t>Login</w:t>
            </w:r>
          </w:p>
        </w:tc>
        <w:tc>
          <w:tcPr>
            <w:tcW w:type="dxa" w:w="3041"/>
            <w:shd w:val="clear" w:color="auto" w:fill="EBF3FB"/>
          </w:tcPr>
          <w:p>
            <w:r>
              <w:rPr>
                <w:rFonts w:ascii="Calibri" w:hAnsi="Calibri"/>
                <w:b/>
                <w:color w:val="2E7D32"/>
                <w:sz w:val="20"/>
              </w:rPr>
              <w:t>✅ PASS</w:t>
            </w:r>
          </w:p>
        </w:tc>
        <w:tc>
          <w:tcPr>
            <w:tcW w:type="dxa" w:w="3041"/>
            <w:shd w:val="clear" w:color="auto" w:fill="EBF3FB"/>
          </w:tcPr>
          <w:p>
            <w:r>
              <w:rPr>
                <w:rFonts w:ascii="Calibri" w:hAnsi="Calibri"/>
                <w:sz w:val="20"/>
              </w:rPr>
              <w:t>Formulario con branding CLIENTRA. Credenciales de demo visibles. Login exitoso con admin@demo.cl / clientra123. Redirección correcta al dashboard.</w:t>
            </w:r>
          </w:p>
        </w:tc>
      </w:tr>
      <w:tr>
        <w:tc>
          <w:tcPr>
            <w:tcW w:type="dxa" w:w="3041"/>
            <w:shd w:val="clear" w:color="auto" w:fill="FFFFFF"/>
          </w:tcPr>
          <w:p>
            <w:r>
              <w:rPr>
                <w:rFonts w:ascii="Calibri" w:hAnsi="Calibri"/>
                <w:sz w:val="20"/>
              </w:rPr>
              <w:t>Dashboard (Inicio)</w:t>
            </w:r>
          </w:p>
        </w:tc>
        <w:tc>
          <w:tcPr>
            <w:tcW w:type="dxa" w:w="3041"/>
            <w:shd w:val="clear" w:color="auto" w:fill="FFFFFF"/>
          </w:tcPr>
          <w:p>
            <w:r>
              <w:rPr>
                <w:rFonts w:ascii="Calibri" w:hAnsi="Calibri"/>
                <w:b/>
                <w:color w:val="2E7D32"/>
                <w:sz w:val="20"/>
              </w:rPr>
              <w:t>✅ PASS</w:t>
            </w:r>
          </w:p>
        </w:tc>
        <w:tc>
          <w:tcPr>
            <w:tcW w:type="dxa" w:w="3041"/>
            <w:shd w:val="clear" w:color="auto" w:fill="FFFFFF"/>
          </w:tcPr>
          <w:p>
            <w:r>
              <w:rPr>
                <w:rFonts w:ascii="Calibri" w:hAnsi="Calibri"/>
                <w:sz w:val="20"/>
              </w:rPr>
              <w:t>Datos reales desde base de datos. 3 leads sin responder (el más antiguo: 2h 8min). Respuesta promedio: 5 min. 6 conversaciones WhatsApp activas. Scoring: HOT=3, WARM=2, COLD=1. Sección Recovery en 0 (correcto con seed fresco). Seguimientos 100% cumplimiento (0 ejecutados).</w:t>
            </w:r>
          </w:p>
        </w:tc>
      </w:tr>
      <w:tr>
        <w:tc>
          <w:tcPr>
            <w:tcW w:type="dxa" w:w="3041"/>
            <w:shd w:val="clear" w:color="auto" w:fill="EBF3FB"/>
          </w:tcPr>
          <w:p>
            <w:r>
              <w:rPr>
                <w:rFonts w:ascii="Calibri" w:hAnsi="Calibri"/>
                <w:sz w:val="20"/>
              </w:rPr>
              <w:t>Bandeja de Leads</w:t>
            </w:r>
          </w:p>
        </w:tc>
        <w:tc>
          <w:tcPr>
            <w:tcW w:type="dxa" w:w="3041"/>
            <w:shd w:val="clear" w:color="auto" w:fill="EBF3FB"/>
          </w:tcPr>
          <w:p>
            <w:r>
              <w:rPr>
                <w:rFonts w:ascii="Calibri" w:hAnsi="Calibri"/>
                <w:b/>
                <w:color w:val="2E7D32"/>
                <w:sz w:val="20"/>
              </w:rPr>
              <w:t>✅ PASS</w:t>
            </w:r>
          </w:p>
        </w:tc>
        <w:tc>
          <w:tcPr>
            <w:tcW w:type="dxa" w:w="3041"/>
            <w:shd w:val="clear" w:color="auto" w:fill="EBF3FB"/>
          </w:tcPr>
          <w:p>
            <w:r>
              <w:rPr>
                <w:rFonts w:ascii="Calibri" w:hAnsi="Calibri"/>
                <w:sz w:val="20"/>
              </w:rPr>
              <w:t>6 leads con badges HOT/WARM/COLD. Tiempos sin respuesta en rojo (13 min, 48 min, 121 min). Fuentes variadas: WhatsApp, Landing, Meta Ads, Portal, Instagram. Botones WhatsApp y Ver score funcionales. Filtro 'Solo sin respuesta' disponible.</w:t>
            </w:r>
          </w:p>
        </w:tc>
      </w:tr>
      <w:tr>
        <w:tc>
          <w:tcPr>
            <w:tcW w:type="dxa" w:w="3041"/>
            <w:shd w:val="clear" w:color="auto" w:fill="FFFFFF"/>
          </w:tcPr>
          <w:p>
            <w:r>
              <w:rPr>
                <w:rFonts w:ascii="Calibri" w:hAnsi="Calibri"/>
                <w:sz w:val="20"/>
              </w:rPr>
              <w:t>Seguimientos</w:t>
            </w:r>
          </w:p>
        </w:tc>
        <w:tc>
          <w:tcPr>
            <w:tcW w:type="dxa" w:w="3041"/>
            <w:shd w:val="clear" w:color="auto" w:fill="FFFFFF"/>
          </w:tcPr>
          <w:p>
            <w:r>
              <w:rPr>
                <w:rFonts w:ascii="Calibri" w:hAnsi="Calibri"/>
                <w:b/>
                <w:color w:val="2E7D32"/>
                <w:sz w:val="20"/>
              </w:rPr>
              <w:t>✅ PASS</w:t>
            </w:r>
          </w:p>
        </w:tc>
        <w:tc>
          <w:tcPr>
            <w:tcW w:type="dxa" w:w="3041"/>
            <w:shd w:val="clear" w:color="auto" w:fill="FFFFFF"/>
          </w:tcPr>
          <w:p>
            <w:r>
              <w:rPr>
                <w:rFonts w:ascii="Calibri" w:hAnsi="Calibri"/>
                <w:sz w:val="20"/>
              </w:rPr>
              <w:t>UI completa con tabs: Pendientes / Vencidos / Ejecutados / Cancelados. Estado: sin seguimientos activos (esperado — Redis no disponible, BullMQ no encola jobs). No muestra placeholder. Cadencia Día 1 · 3 · 7 · 14 visible en el subtítulo.</w:t>
            </w:r>
          </w:p>
        </w:tc>
      </w:tr>
      <w:tr>
        <w:tc>
          <w:tcPr>
            <w:tcW w:type="dxa" w:w="3041"/>
            <w:shd w:val="clear" w:color="auto" w:fill="EBF3FB"/>
          </w:tcPr>
          <w:p>
            <w:r>
              <w:rPr>
                <w:rFonts w:ascii="Calibri" w:hAnsi="Calibri"/>
                <w:sz w:val="20"/>
              </w:rPr>
              <w:t>Recovery Center</w:t>
            </w:r>
          </w:p>
        </w:tc>
        <w:tc>
          <w:tcPr>
            <w:tcW w:type="dxa" w:w="3041"/>
            <w:shd w:val="clear" w:color="auto" w:fill="EBF3FB"/>
          </w:tcPr>
          <w:p>
            <w:r>
              <w:rPr>
                <w:rFonts w:ascii="Calibri" w:hAnsi="Calibri"/>
                <w:b/>
                <w:color w:val="2E7D32"/>
                <w:sz w:val="20"/>
              </w:rPr>
              <w:t>✅ PASS</w:t>
            </w:r>
          </w:p>
        </w:tc>
        <w:tc>
          <w:tcPr>
            <w:tcW w:type="dxa" w:w="3041"/>
            <w:shd w:val="clear" w:color="auto" w:fill="EBF3FB"/>
          </w:tcPr>
          <w:p>
            <w:r>
              <w:rPr>
                <w:rFonts w:ascii="Calibri" w:hAnsi="Calibri"/>
                <w:sz w:val="20"/>
              </w:rPr>
              <w:t>4 cards de estadísticas: Candidatos (amber), Reactivados (emerald), Archivados (zinc), Sin respuesta (blue). Estado: 'No hay leads fríos en este momento' (correcto — leads del seed tienen menos de 30 días de antigüedad). Subtítulo '30 · 60 · 90 días inactivos' visible.</w:t>
            </w:r>
          </w:p>
        </w:tc>
      </w:tr>
    </w:tbl>
    <w:p/>
    <w:p>
      <w:pPr>
        <w:spacing w:after="120"/>
      </w:pPr>
      <w:r>
        <w:rPr>
          <w:rFonts w:ascii="Calibri" w:hAnsi="Calibri"/>
          <w:b/>
          <w:i w:val="0"/>
          <w:color w:val="2E7D32"/>
          <w:sz w:val="22"/>
        </w:rPr>
        <w:t>0 errores de consola en todas las pantallas. 0 errores de red. Login y navegación completamente funcionales.</w:t>
      </w:r>
    </w:p>
    <w:p/>
    <w:p>
      <w:pPr>
        <w:pStyle w:val="Heading1"/>
        <w:jc w:val="left"/>
      </w:pPr>
      <w:r>
        <w:rPr>
          <w:rFonts w:ascii="Calibri" w:hAnsi="Calibri"/>
          <w:color w:val="1F3864"/>
        </w:rPr>
        <w:t>7. Métricas del Proyecto</w:t>
      </w:r>
    </w:p>
    <w:p>
      <w:pPr>
        <w:spacing w:after="40"/>
        <w:pBdr>
          <w:bottom w:val="single" w:sz="6" w:space="1" w:color="4472C4"/>
        </w:pBdr>
      </w:pPr>
    </w:p>
    <w:p/>
    <w:tbl>
      <w:tblPr>
        <w:tblStyle w:val="TableGrid"/>
        <w:tblW w:type="auto" w:w="0"/>
        <w:tblLook w:firstColumn="1" w:firstRow="1" w:lastColumn="0" w:lastRow="0" w:noHBand="0" w:noVBand="1" w:val="04A0"/>
      </w:tblPr>
      <w:tblGrid>
        <w:gridCol w:w="2835"/>
        <w:gridCol w:w="6236"/>
      </w:tblGrid>
      <w:tr>
        <w:trPr>
          <w:trHeight w:val="397"/>
        </w:trPr>
        <w:tc>
          <w:tcPr>
            <w:tcW w:type="dxa" w:w="2835"/>
            <w:shd w:val="clear" w:color="auto" w:fill="EBF3FB"/>
          </w:tcPr>
          <w:p>
            <w:r>
              <w:rPr>
                <w:rFonts w:ascii="Calibri" w:hAnsi="Calibri"/>
                <w:b/>
                <w:sz w:val="20"/>
              </w:rPr>
              <w:t>Tests unitarios totales</w:t>
            </w:r>
          </w:p>
        </w:tc>
        <w:tc>
          <w:tcPr>
            <w:tcW w:type="dxa" w:w="6236"/>
            <w:shd w:val="clear" w:color="auto" w:fill="EBF3FB"/>
          </w:tcPr>
          <w:p>
            <w:r>
              <w:rPr>
                <w:rFonts w:ascii="Calibri" w:hAnsi="Calibri"/>
                <w:sz w:val="20"/>
              </w:rPr>
              <w:t>41 (todos pasando)</w:t>
            </w:r>
          </w:p>
        </w:tc>
      </w:tr>
      <w:tr>
        <w:trPr>
          <w:trHeight w:val="397"/>
        </w:trPr>
        <w:tc>
          <w:tcPr>
            <w:tcW w:type="dxa" w:w="2835"/>
            <w:shd w:val="clear" w:color="auto" w:fill="FFFFFF"/>
          </w:tcPr>
          <w:p>
            <w:r>
              <w:rPr>
                <w:rFonts w:ascii="Calibri" w:hAnsi="Calibri"/>
                <w:b/>
                <w:sz w:val="20"/>
              </w:rPr>
              <w:t>Módulos de API</w:t>
            </w:r>
          </w:p>
        </w:tc>
        <w:tc>
          <w:tcPr>
            <w:tcW w:type="dxa" w:w="6236"/>
            <w:shd w:val="clear" w:color="auto" w:fill="FFFFFF"/>
          </w:tcPr>
          <w:p>
            <w:r>
              <w:rPr>
                <w:rFonts w:ascii="Calibri" w:hAnsi="Calibri"/>
                <w:sz w:val="20"/>
              </w:rPr>
              <w:t>10 módulos NestJS (Auth, Leads, LeadIntake, LeadRouter, Messaging, LeadScoring, FollowUp, LeadRecovery, Health, Tenant/Users)</w:t>
            </w:r>
          </w:p>
        </w:tc>
      </w:tr>
      <w:tr>
        <w:trPr>
          <w:trHeight w:val="397"/>
        </w:trPr>
        <w:tc>
          <w:tcPr>
            <w:tcW w:type="dxa" w:w="2835"/>
            <w:shd w:val="clear" w:color="auto" w:fill="EBF3FB"/>
          </w:tcPr>
          <w:p>
            <w:r>
              <w:rPr>
                <w:rFonts w:ascii="Calibri" w:hAnsi="Calibri"/>
                <w:b/>
                <w:sz w:val="20"/>
              </w:rPr>
              <w:t>Endpoints REST</w:t>
            </w:r>
          </w:p>
        </w:tc>
        <w:tc>
          <w:tcPr>
            <w:tcW w:type="dxa" w:w="6236"/>
            <w:shd w:val="clear" w:color="auto" w:fill="EBF3FB"/>
          </w:tcPr>
          <w:p>
            <w:r>
              <w:rPr>
                <w:rFonts w:ascii="Calibri" w:hAnsi="Calibri"/>
                <w:sz w:val="20"/>
              </w:rPr>
              <w:t>20+ endpoints con autenticación JWT</w:t>
            </w:r>
          </w:p>
        </w:tc>
      </w:tr>
      <w:tr>
        <w:trPr>
          <w:trHeight w:val="397"/>
        </w:trPr>
        <w:tc>
          <w:tcPr>
            <w:tcW w:type="dxa" w:w="2835"/>
            <w:shd w:val="clear" w:color="auto" w:fill="FFFFFF"/>
          </w:tcPr>
          <w:p>
            <w:r>
              <w:rPr>
                <w:rFonts w:ascii="Calibri" w:hAnsi="Calibri"/>
                <w:b/>
                <w:sz w:val="20"/>
              </w:rPr>
              <w:t>Tablas de base de datos</w:t>
            </w:r>
          </w:p>
        </w:tc>
        <w:tc>
          <w:tcPr>
            <w:tcW w:type="dxa" w:w="6236"/>
            <w:shd w:val="clear" w:color="auto" w:fill="FFFFFF"/>
          </w:tcPr>
          <w:p>
            <w:r>
              <w:rPr>
                <w:rFonts w:ascii="Calibri" w:hAnsi="Calibri"/>
                <w:sz w:val="20"/>
              </w:rPr>
              <w:t>10+ tablas con RLS habilitado para multi-tenancy</w:t>
            </w:r>
          </w:p>
        </w:tc>
      </w:tr>
      <w:tr>
        <w:trPr>
          <w:trHeight w:val="397"/>
        </w:trPr>
        <w:tc>
          <w:tcPr>
            <w:tcW w:type="dxa" w:w="2835"/>
            <w:shd w:val="clear" w:color="auto" w:fill="EBF3FB"/>
          </w:tcPr>
          <w:p>
            <w:r>
              <w:rPr>
                <w:rFonts w:ascii="Calibri" w:hAnsi="Calibri"/>
                <w:b/>
                <w:sz w:val="20"/>
              </w:rPr>
              <w:t>Migraciones Prisma</w:t>
            </w:r>
          </w:p>
        </w:tc>
        <w:tc>
          <w:tcPr>
            <w:tcW w:type="dxa" w:w="6236"/>
            <w:shd w:val="clear" w:color="auto" w:fill="EBF3FB"/>
          </w:tcPr>
          <w:p>
            <w:r>
              <w:rPr>
                <w:rFonts w:ascii="Calibri" w:hAnsi="Calibri"/>
                <w:sz w:val="20"/>
              </w:rPr>
              <w:t>2 migraciones aplicadas (init + enable_rls)</w:t>
            </w:r>
          </w:p>
        </w:tc>
      </w:tr>
      <w:tr>
        <w:trPr>
          <w:trHeight w:val="397"/>
        </w:trPr>
        <w:tc>
          <w:tcPr>
            <w:tcW w:type="dxa" w:w="2835"/>
            <w:shd w:val="clear" w:color="auto" w:fill="FFFFFF"/>
          </w:tcPr>
          <w:p>
            <w:r>
              <w:rPr>
                <w:rFonts w:ascii="Calibri" w:hAnsi="Calibri"/>
                <w:b/>
                <w:sz w:val="20"/>
              </w:rPr>
              <w:t>Páginas web</w:t>
            </w:r>
          </w:p>
        </w:tc>
        <w:tc>
          <w:tcPr>
            <w:tcW w:type="dxa" w:w="6236"/>
            <w:shd w:val="clear" w:color="auto" w:fill="FFFFFF"/>
          </w:tcPr>
          <w:p>
            <w:r>
              <w:rPr>
                <w:rFonts w:ascii="Calibri" w:hAnsi="Calibri"/>
                <w:sz w:val="20"/>
              </w:rPr>
              <w:t>8 páginas (Login, Dashboard, Leads, Inbox WhatsApp, Pipeline, Seguimientos, Recovery, Visitas, Propiedades)</w:t>
            </w:r>
          </w:p>
        </w:tc>
      </w:tr>
      <w:tr>
        <w:trPr>
          <w:trHeight w:val="397"/>
        </w:trPr>
        <w:tc>
          <w:tcPr>
            <w:tcW w:type="dxa" w:w="2835"/>
            <w:shd w:val="clear" w:color="auto" w:fill="EBF3FB"/>
          </w:tcPr>
          <w:p>
            <w:r>
              <w:rPr>
                <w:rFonts w:ascii="Calibri" w:hAnsi="Calibri"/>
                <w:b/>
                <w:sz w:val="20"/>
              </w:rPr>
              <w:t>Hitos completados</w:t>
            </w:r>
          </w:p>
        </w:tc>
        <w:tc>
          <w:tcPr>
            <w:tcW w:type="dxa" w:w="6236"/>
            <w:shd w:val="clear" w:color="auto" w:fill="EBF3FB"/>
          </w:tcPr>
          <w:p>
            <w:r>
              <w:rPr>
                <w:rFonts w:ascii="Calibri" w:hAnsi="Calibri"/>
                <w:sz w:val="20"/>
              </w:rPr>
              <w:t>5 de 6 planificados (H1–H5)</w:t>
            </w:r>
          </w:p>
        </w:tc>
      </w:tr>
      <w:tr>
        <w:trPr>
          <w:trHeight w:val="397"/>
        </w:trPr>
        <w:tc>
          <w:tcPr>
            <w:tcW w:type="dxa" w:w="2835"/>
            <w:shd w:val="clear" w:color="auto" w:fill="FFFFFF"/>
          </w:tcPr>
          <w:p>
            <w:r>
              <w:rPr>
                <w:rFonts w:ascii="Calibri" w:hAnsi="Calibri"/>
                <w:b/>
                <w:sz w:val="20"/>
              </w:rPr>
              <w:t>Eventos de dominio</w:t>
            </w:r>
          </w:p>
        </w:tc>
        <w:tc>
          <w:tcPr>
            <w:tcW w:type="dxa" w:w="6236"/>
            <w:shd w:val="clear" w:color="auto" w:fill="FFFFFF"/>
          </w:tcPr>
          <w:p>
            <w:r>
              <w:rPr>
                <w:rFonts w:ascii="Calibri" w:hAnsi="Calibri"/>
                <w:sz w:val="20"/>
              </w:rPr>
              <w:t>LeadCreatedEvent · LeadAssignedEvent · LeadMessageReceivedEvent · LeadRecoveredEvent</w:t>
            </w:r>
          </w:p>
        </w:tc>
      </w:tr>
    </w:tbl>
    <w:p/>
    <w:p>
      <w:pPr>
        <w:pStyle w:val="Heading1"/>
        <w:jc w:val="left"/>
      </w:pPr>
      <w:r>
        <w:rPr>
          <w:rFonts w:ascii="Calibri" w:hAnsi="Calibri"/>
          <w:color w:val="1F3864"/>
        </w:rPr>
        <w:t>8. Próximos Pasos</w:t>
      </w:r>
    </w:p>
    <w:p>
      <w:pPr>
        <w:spacing w:after="40"/>
        <w:pBdr>
          <w:bottom w:val="single" w:sz="6" w:space="1" w:color="4472C4"/>
        </w:pBdr>
      </w:pPr>
    </w:p>
    <w:p/>
    <w:p>
      <w:pPr>
        <w:spacing w:after="120"/>
      </w:pPr>
      <w:r>
        <w:rPr>
          <w:rFonts w:ascii="Calibri" w:hAnsi="Calibri"/>
          <w:b/>
          <w:i w:val="0"/>
          <w:sz w:val="22"/>
        </w:rPr>
        <w:t>Pendiente de instrucción del equipo:</w:t>
      </w:r>
    </w:p>
    <w:p>
      <w:pPr>
        <w:pStyle w:val="ListBullet"/>
        <w:spacing w:after="60"/>
        <w:ind w:left="283"/>
      </w:pPr>
      <w:r>
        <w:rPr>
          <w:rFonts w:ascii="Calibri" w:hAnsi="Calibri"/>
          <w:sz w:val="22"/>
        </w:rPr>
        <w:t>H6 — (funcionalidad por definir) — No iniciar hasta recibir instrucción explícita</w:t>
      </w:r>
    </w:p>
    <w:p/>
    <w:p>
      <w:pPr>
        <w:spacing w:after="120"/>
      </w:pPr>
      <w:r>
        <w:rPr>
          <w:rFonts w:ascii="Calibri" w:hAnsi="Calibri"/>
          <w:b/>
          <w:i w:val="0"/>
          <w:sz w:val="22"/>
        </w:rPr>
        <w:t>Tareas de infraestructura recomendadas:</w:t>
      </w:r>
    </w:p>
    <w:p>
      <w:pPr>
        <w:pStyle w:val="ListBullet"/>
        <w:spacing w:after="60"/>
        <w:ind w:left="283"/>
      </w:pPr>
      <w:r>
        <w:rPr>
          <w:rFonts w:ascii="Calibri" w:hAnsi="Calibri"/>
          <w:sz w:val="22"/>
        </w:rPr>
        <w:t>Levantar Redis (docker compose up -d redis) para activar los follow-ups automáticos de BullMQ</w:t>
      </w:r>
    </w:p>
    <w:p>
      <w:pPr>
        <w:pStyle w:val="ListBullet"/>
        <w:spacing w:after="60"/>
        <w:ind w:left="283"/>
      </w:pPr>
      <w:r>
        <w:rPr>
          <w:rFonts w:ascii="Calibri" w:hAnsi="Calibri"/>
          <w:sz w:val="22"/>
        </w:rPr>
        <w:t>Consolidar en una sola instancia de PostgreSQL para simplificar el entorno de desarrollo</w:t>
      </w:r>
    </w:p>
    <w:p>
      <w:pPr>
        <w:pStyle w:val="ListBullet"/>
        <w:spacing w:after="60"/>
        <w:ind w:left="283"/>
      </w:pPr>
      <w:r>
        <w:rPr>
          <w:rFonts w:ascii="Calibri" w:hAnsi="Calibri"/>
          <w:sz w:val="22"/>
        </w:rPr>
        <w:t>Crear skill de run para CLIENTRA en .claude/skills/ para evitar redescubrimiento en futuras sesiones</w:t>
      </w:r>
    </w:p>
    <w:p/>
    <w:p>
      <w:pPr>
        <w:spacing w:after="120"/>
      </w:pPr>
      <w:r>
        <w:rPr>
          <w:rFonts w:ascii="Calibri" w:hAnsi="Calibri"/>
          <w:b/>
          <w:i w:val="0"/>
          <w:sz w:val="22"/>
        </w:rPr>
        <w:t>Mejoras técnicas identificadas durante auditoría:</w:t>
      </w:r>
    </w:p>
    <w:p>
      <w:pPr>
        <w:pStyle w:val="ListBullet"/>
        <w:spacing w:after="60"/>
        <w:ind w:left="283"/>
      </w:pPr>
      <w:r>
        <w:rPr>
          <w:rFonts w:ascii="Calibri" w:hAnsi="Calibri"/>
          <w:sz w:val="22"/>
        </w:rPr>
        <w:t>Optimizar stats() con una sola query SQL agregada en lugar de reutilizar findCandidates()</w:t>
      </w:r>
    </w:p>
    <w:p>
      <w:pPr>
        <w:pStyle w:val="ListBullet"/>
        <w:spacing w:after="60"/>
        <w:ind w:left="283"/>
      </w:pPr>
      <w:r>
        <w:rPr>
          <w:rFonts w:ascii="Calibri" w:hAnsi="Calibri"/>
          <w:sz w:val="22"/>
        </w:rPr>
        <w:t>Agregar paginación cursor-based en GET /lead-recovery/candidates</w:t>
      </w:r>
    </w:p>
    <w:p>
      <w:pPr>
        <w:pStyle w:val="ListBullet"/>
        <w:spacing w:after="60"/>
        <w:ind w:left="283"/>
      </w:pPr>
      <w:r>
        <w:rPr>
          <w:rFonts w:ascii="Calibri" w:hAnsi="Calibri"/>
          <w:sz w:val="22"/>
        </w:rPr>
        <w:t>Implementar UI para registrar el outcome 'Sin respuesta' desde el Recovery Center</w:t>
      </w:r>
    </w:p>
    <w:p>
      <w:pPr>
        <w:pStyle w:val="ListBullet"/>
        <w:spacing w:after="60"/>
        <w:ind w:left="283"/>
      </w:pPr>
      <w:r>
        <w:rPr>
          <w:rFonts w:ascii="Calibri" w:hAnsi="Calibri"/>
          <w:sz w:val="22"/>
        </w:rPr>
        <w:t>Agregar listener para LeadRecoveredEvent cuando H6 lo requiera</w:t>
      </w:r>
    </w:p>
    <w:p/>
    <w:p/>
    <w:p>
      <w:pPr>
        <w:spacing w:after="40"/>
        <w:pBdr>
          <w:bottom w:val="single" w:sz="6" w:space="1" w:color="4472C4"/>
        </w:pBdr>
      </w:pPr>
    </w:p>
    <w:p>
      <w:pPr>
        <w:jc w:val="center"/>
      </w:pPr>
      <w:r>
        <w:rPr>
          <w:rFonts w:ascii="Calibri" w:hAnsi="Calibri"/>
          <w:i/>
          <w:color w:val="7F7F7F"/>
          <w:sz w:val="18"/>
        </w:rPr>
        <w:t>CLIENTRA — Informe generado el 03/06/2026  |  Documento de uso interno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