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7EB7" w14:textId="77777777" w:rsidR="00552C40" w:rsidRDefault="00552C40">
      <w:pPr>
        <w:pStyle w:val="Title"/>
        <w:ind w:left="0" w:right="95"/>
        <w:rPr>
          <w:rFonts w:ascii="Times New Roman" w:eastAsia="Times New Roman" w:hAnsi="Times New Roman" w:cs="Times New Roman"/>
          <w:color w:val="FF6600"/>
          <w:sz w:val="44"/>
          <w:szCs w:val="44"/>
        </w:rPr>
      </w:pPr>
    </w:p>
    <w:p w14:paraId="0E862ECA" w14:textId="77777777" w:rsidR="00552C40" w:rsidRDefault="00000000">
      <w:pPr>
        <w:pStyle w:val="Title"/>
        <w:ind w:left="0" w:right="95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color w:val="FF6600"/>
          <w:sz w:val="44"/>
          <w:szCs w:val="44"/>
        </w:rPr>
        <w:t>Humanities for Engineers (UHU005)</w:t>
      </w:r>
    </w:p>
    <w:p w14:paraId="4CBDBBF8" w14:textId="77777777" w:rsidR="00552C40" w:rsidRDefault="00552C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5E108F7" w14:textId="77777777" w:rsidR="00552C40" w:rsidRDefault="00552C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4521A679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Case Study No. 1 </w:t>
      </w:r>
    </w:p>
    <w:p w14:paraId="36FC5962" w14:textId="77777777" w:rsidR="00552C40" w:rsidRDefault="00552C4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9FDCDE3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 Single-Author Paper</w:t>
      </w:r>
    </w:p>
    <w:p w14:paraId="68D0234D" w14:textId="77777777" w:rsidR="00552C40" w:rsidRDefault="00552C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3E736C3" w14:textId="77777777" w:rsidR="00552C40" w:rsidRDefault="00552C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82C9EFF" w14:textId="77777777" w:rsidR="00552C40" w:rsidRDefault="00552C4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DC7367" w14:textId="77777777" w:rsidR="00552C40" w:rsidRDefault="00000000">
      <w:pPr>
        <w:pStyle w:val="Heading2"/>
        <w:ind w:left="0" w:right="9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Submitted By –</w:t>
      </w:r>
    </w:p>
    <w:p w14:paraId="6E441D4B" w14:textId="77777777" w:rsidR="00552C40" w:rsidRDefault="00552C40">
      <w:pPr>
        <w:pStyle w:val="Heading2"/>
        <w:ind w:left="0" w:right="95"/>
        <w:jc w:val="center"/>
        <w:rPr>
          <w:rFonts w:ascii="Times New Roman" w:eastAsia="Times New Roman" w:hAnsi="Times New Roman" w:cs="Times New Roman"/>
        </w:rPr>
      </w:pPr>
    </w:p>
    <w:p w14:paraId="4624AF25" w14:textId="77777777" w:rsidR="00552C40" w:rsidRDefault="00552C40">
      <w:pPr>
        <w:pBdr>
          <w:top w:val="nil"/>
          <w:left w:val="nil"/>
          <w:bottom w:val="nil"/>
          <w:right w:val="nil"/>
          <w:between w:val="nil"/>
        </w:pBdr>
        <w:spacing w:before="5" w:after="1"/>
        <w:ind w:right="9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"/>
        <w:tblW w:w="7525" w:type="dxa"/>
        <w:tblInd w:w="651" w:type="dxa"/>
        <w:tblLayout w:type="fixed"/>
        <w:tblLook w:val="0000" w:firstRow="0" w:lastRow="0" w:firstColumn="0" w:lastColumn="0" w:noHBand="0" w:noVBand="0"/>
      </w:tblPr>
      <w:tblGrid>
        <w:gridCol w:w="3035"/>
        <w:gridCol w:w="2765"/>
        <w:gridCol w:w="1725"/>
      </w:tblGrid>
      <w:tr w:rsidR="00552C40" w14:paraId="72ACF3D3" w14:textId="77777777">
        <w:trPr>
          <w:trHeight w:val="381"/>
        </w:trPr>
        <w:tc>
          <w:tcPr>
            <w:tcW w:w="3035" w:type="dxa"/>
          </w:tcPr>
          <w:p w14:paraId="086003AC" w14:textId="77777777" w:rsidR="00552C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3" w:lineRule="auto"/>
              <w:ind w:right="9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2765" w:type="dxa"/>
          </w:tcPr>
          <w:p w14:paraId="6679A02B" w14:textId="77777777" w:rsidR="00552C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3" w:lineRule="auto"/>
              <w:ind w:right="9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725" w:type="dxa"/>
          </w:tcPr>
          <w:p w14:paraId="630284C9" w14:textId="77777777" w:rsidR="00552C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3" w:lineRule="auto"/>
              <w:ind w:left="348" w:right="9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Batch</w:t>
            </w:r>
          </w:p>
        </w:tc>
      </w:tr>
      <w:tr w:rsidR="00552C40" w14:paraId="5305B962" w14:textId="77777777">
        <w:trPr>
          <w:trHeight w:val="381"/>
        </w:trPr>
        <w:tc>
          <w:tcPr>
            <w:tcW w:w="3035" w:type="dxa"/>
          </w:tcPr>
          <w:p w14:paraId="7012D990" w14:textId="7439AA12" w:rsidR="00552C40" w:rsidRDefault="00EE2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67" w:lineRule="auto"/>
              <w:ind w:righ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Mukul Jindal</w:t>
            </w:r>
          </w:p>
        </w:tc>
        <w:tc>
          <w:tcPr>
            <w:tcW w:w="2765" w:type="dxa"/>
          </w:tcPr>
          <w:p w14:paraId="1E316984" w14:textId="5C07A462" w:rsidR="00552C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67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1021160</w:t>
            </w:r>
            <w:r w:rsidR="00EE27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725" w:type="dxa"/>
          </w:tcPr>
          <w:p w14:paraId="68A9BEB3" w14:textId="77777777" w:rsidR="00552C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67" w:lineRule="auto"/>
              <w:ind w:left="348" w:righ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4CS10</w:t>
            </w:r>
          </w:p>
        </w:tc>
      </w:tr>
      <w:tr w:rsidR="00552C40" w14:paraId="0E5BD91F" w14:textId="77777777">
        <w:trPr>
          <w:trHeight w:val="381"/>
        </w:trPr>
        <w:tc>
          <w:tcPr>
            <w:tcW w:w="3035" w:type="dxa"/>
          </w:tcPr>
          <w:p w14:paraId="1DA5D512" w14:textId="77777777" w:rsidR="00552C40" w:rsidRDefault="00552C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5" w:type="dxa"/>
          </w:tcPr>
          <w:p w14:paraId="7DEBDFAA" w14:textId="77777777" w:rsidR="00552C40" w:rsidRDefault="00552C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5CF06B93" w14:textId="77777777" w:rsidR="00552C40" w:rsidRDefault="00552C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A53142" w14:textId="77777777" w:rsidR="00552C40" w:rsidRDefault="00552C40">
      <w:pPr>
        <w:jc w:val="center"/>
        <w:rPr>
          <w:rFonts w:ascii="Times New Roman" w:eastAsia="Times New Roman" w:hAnsi="Times New Roman" w:cs="Times New Roman"/>
        </w:rPr>
      </w:pPr>
    </w:p>
    <w:p w14:paraId="005F9742" w14:textId="77777777" w:rsidR="00552C40" w:rsidRDefault="00552C40">
      <w:pPr>
        <w:jc w:val="center"/>
        <w:rPr>
          <w:rFonts w:ascii="Times New Roman" w:eastAsia="Times New Roman" w:hAnsi="Times New Roman" w:cs="Times New Roman"/>
        </w:rPr>
      </w:pPr>
    </w:p>
    <w:p w14:paraId="6E3A7034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Under the Guidance of Lab Faculty</w:t>
      </w:r>
    </w:p>
    <w:p w14:paraId="52EF61B1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83B39E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Rudra Rameshwar</w:t>
      </w:r>
    </w:p>
    <w:p w14:paraId="0B8E98F5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[S.H.S.S., T.I.E.T.]</w:t>
      </w:r>
    </w:p>
    <w:p w14:paraId="788E9956" w14:textId="77777777" w:rsidR="00552C40" w:rsidRDefault="00552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19D6A23" w14:textId="77777777" w:rsidR="00552C40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8FD6621" wp14:editId="7C43BAA8">
            <wp:simplePos x="0" y="0"/>
            <wp:positionH relativeFrom="column">
              <wp:posOffset>1981200</wp:posOffset>
            </wp:positionH>
            <wp:positionV relativeFrom="paragraph">
              <wp:posOffset>212090</wp:posOffset>
            </wp:positionV>
            <wp:extent cx="2014220" cy="188214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88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FD77C9" w14:textId="77777777" w:rsidR="00552C40" w:rsidRDefault="00552C40">
      <w:pPr>
        <w:pStyle w:val="Heading2"/>
        <w:spacing w:before="91" w:line="276" w:lineRule="auto"/>
        <w:ind w:left="1796" w:right="1801" w:firstLine="6"/>
        <w:jc w:val="center"/>
        <w:rPr>
          <w:rFonts w:ascii="Times New Roman" w:eastAsia="Times New Roman" w:hAnsi="Times New Roman" w:cs="Times New Roman"/>
        </w:rPr>
      </w:pPr>
    </w:p>
    <w:p w14:paraId="3CE94744" w14:textId="77777777" w:rsidR="00552C40" w:rsidRDefault="00000000">
      <w:pPr>
        <w:pStyle w:val="Heading2"/>
        <w:spacing w:before="91" w:line="276" w:lineRule="auto"/>
        <w:ind w:left="0" w:right="95"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Humanities &amp; Social Sciences</w:t>
      </w:r>
    </w:p>
    <w:p w14:paraId="5C5FCF19" w14:textId="77777777" w:rsidR="00552C40" w:rsidRDefault="00000000">
      <w:pPr>
        <w:pStyle w:val="Heading2"/>
        <w:spacing w:before="91" w:line="276" w:lineRule="auto"/>
        <w:ind w:left="0" w:right="95"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Thapar Institute of Engineering and Technology </w:t>
      </w:r>
    </w:p>
    <w:p w14:paraId="6298D24A" w14:textId="77777777" w:rsidR="00552C40" w:rsidRDefault="00000000">
      <w:pPr>
        <w:pStyle w:val="Heading2"/>
        <w:spacing w:before="91" w:line="276" w:lineRule="auto"/>
        <w:ind w:left="1796" w:right="1801" w:firstLine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(Deemed-to-be-University) Post Box No. 32, Patiala – 147004, Punjab (India)</w:t>
      </w:r>
    </w:p>
    <w:p w14:paraId="1BC8436B" w14:textId="77777777" w:rsidR="00552C40" w:rsidRDefault="00552C40">
      <w:pPr>
        <w:jc w:val="center"/>
        <w:rPr>
          <w:rFonts w:ascii="Times New Roman" w:eastAsia="Times New Roman" w:hAnsi="Times New Roman" w:cs="Times New Roman"/>
          <w:b/>
        </w:rPr>
      </w:pPr>
    </w:p>
    <w:p w14:paraId="6CCF0DE0" w14:textId="77777777" w:rsidR="00552C40" w:rsidRDefault="00552C40">
      <w:pPr>
        <w:jc w:val="center"/>
        <w:rPr>
          <w:rFonts w:ascii="Times New Roman" w:eastAsia="Times New Roman" w:hAnsi="Times New Roman" w:cs="Times New Roman"/>
          <w:b/>
        </w:rPr>
      </w:pPr>
    </w:p>
    <w:p w14:paraId="5E543871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August, 2024</w:t>
      </w:r>
    </w:p>
    <w:p w14:paraId="600640CF" w14:textId="77777777" w:rsidR="00552C40" w:rsidRDefault="00552C40">
      <w:pPr>
        <w:jc w:val="center"/>
        <w:rPr>
          <w:rFonts w:ascii="Times New Roman" w:eastAsia="Times New Roman" w:hAnsi="Times New Roman" w:cs="Times New Roman"/>
          <w:b/>
        </w:rPr>
      </w:pPr>
    </w:p>
    <w:p w14:paraId="6AF12568" w14:textId="77777777" w:rsidR="00552C40" w:rsidRDefault="00552C40">
      <w:pPr>
        <w:jc w:val="center"/>
        <w:rPr>
          <w:rFonts w:ascii="Times New Roman" w:eastAsia="Times New Roman" w:hAnsi="Times New Roman" w:cs="Times New Roman"/>
          <w:b/>
        </w:rPr>
      </w:pPr>
    </w:p>
    <w:p w14:paraId="4034E950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Case Study No. 1 </w:t>
      </w:r>
    </w:p>
    <w:p w14:paraId="48E77682" w14:textId="77777777" w:rsidR="00552C40" w:rsidRDefault="00552C4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2BA27E6" w14:textId="77777777" w:rsidR="00552C4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 Single-Author Paper</w:t>
      </w:r>
    </w:p>
    <w:p w14:paraId="6A99981D" w14:textId="77777777" w:rsidR="00552C40" w:rsidRDefault="00552C4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</w:p>
    <w:p w14:paraId="216D9097" w14:textId="77777777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Q1. </w:t>
      </w:r>
      <w:r>
        <w:rPr>
          <w:rFonts w:ascii="Times New Roman" w:eastAsia="Times New Roman" w:hAnsi="Times New Roman" w:cs="Times New Roman"/>
          <w:b w:val="0"/>
        </w:rPr>
        <w:t>Would Dr. Danson's advice be appropriate if he knew about Lisa's contribution to Mike's project? Was Mike responsible for informing his adviser about Lisa's contribution?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50B498" w14:textId="77777777" w:rsidR="00552C40" w:rsidRDefault="00552C4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</w:p>
    <w:p w14:paraId="20E1EC44" w14:textId="4073DB34" w:rsidR="00552C40" w:rsidRPr="001E627F" w:rsidRDefault="00000000" w:rsidP="001E627F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 xml:space="preserve">Solution Q1. </w:t>
      </w:r>
      <w:r w:rsidR="001E627F" w:rsidRPr="001E627F">
        <w:rPr>
          <w:rFonts w:ascii="Times New Roman" w:eastAsia="Times New Roman" w:hAnsi="Times New Roman" w:cs="Times New Roman"/>
          <w:b w:val="0"/>
        </w:rPr>
        <w:t>it’s crucial for both advisers and researchers to ensure that all contributions are appropriately recognized and attributed in academic publications. This practice fosters a culture of fairness, collaboration, and integrity in the scientific community.</w:t>
      </w:r>
    </w:p>
    <w:p w14:paraId="1631B277" w14:textId="77777777" w:rsidR="00552C40" w:rsidRDefault="00552C40">
      <w:pPr>
        <w:jc w:val="center"/>
        <w:rPr>
          <w:rFonts w:ascii="Times New Roman" w:eastAsia="Times New Roman" w:hAnsi="Times New Roman" w:cs="Times New Roman"/>
          <w:b/>
        </w:rPr>
      </w:pPr>
    </w:p>
    <w:p w14:paraId="0B9836D5" w14:textId="77777777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Q2. </w:t>
      </w:r>
      <w:r>
        <w:rPr>
          <w:rFonts w:ascii="Times New Roman" w:eastAsia="Times New Roman" w:hAnsi="Times New Roman" w:cs="Times New Roman"/>
          <w:b w:val="0"/>
        </w:rPr>
        <w:t>Should Mike have followed Dr. Danson's recommendation concerning authorship?</w:t>
      </w:r>
      <w:r>
        <w:rPr>
          <w:rFonts w:ascii="Times New Roman" w:eastAsia="Times New Roman" w:hAnsi="Times New Roman" w:cs="Times New Roman"/>
        </w:rPr>
        <w:t xml:space="preserve"> </w:t>
      </w:r>
    </w:p>
    <w:p w14:paraId="697C3450" w14:textId="77777777" w:rsidR="00552C40" w:rsidRDefault="00552C4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</w:p>
    <w:p w14:paraId="7457DC49" w14:textId="6737B5B8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 Q2. </w:t>
      </w:r>
      <w:r w:rsidR="00EE27E5" w:rsidRPr="00EE27E5">
        <w:rPr>
          <w:rFonts w:ascii="Times New Roman" w:eastAsia="Times New Roman" w:hAnsi="Times New Roman" w:cs="Times New Roman"/>
          <w:b w:val="0"/>
        </w:rPr>
        <w:t>Mike should have discussed the situation with Dr. Danson, explaining Lisa’s critical role in the project, and advocated for her inclusion as a co-author. This approach would have upheld the ethical standards of research and fostered a more positive and productive research environment.</w:t>
      </w:r>
    </w:p>
    <w:p w14:paraId="69AACCC3" w14:textId="77777777" w:rsidR="00552C40" w:rsidRDefault="00552C4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</w:p>
    <w:p w14:paraId="587E3293" w14:textId="77777777" w:rsidR="00552C40" w:rsidRDefault="00552C40">
      <w:pPr>
        <w:pStyle w:val="Heading2"/>
        <w:tabs>
          <w:tab w:val="left" w:pos="1134"/>
        </w:tabs>
        <w:spacing w:line="276" w:lineRule="auto"/>
        <w:ind w:left="0" w:right="99"/>
        <w:jc w:val="both"/>
        <w:rPr>
          <w:rFonts w:ascii="Times New Roman" w:eastAsia="Times New Roman" w:hAnsi="Times New Roman" w:cs="Times New Roman"/>
        </w:rPr>
      </w:pPr>
    </w:p>
    <w:p w14:paraId="7C671428" w14:textId="77777777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Q3. </w:t>
      </w:r>
      <w:r>
        <w:rPr>
          <w:rFonts w:ascii="Times New Roman" w:eastAsia="Times New Roman" w:hAnsi="Times New Roman" w:cs="Times New Roman"/>
          <w:b w:val="0"/>
        </w:rPr>
        <w:t>Did Mike ask a reasonable favor from Lisa?</w:t>
      </w:r>
    </w:p>
    <w:p w14:paraId="197D2BCF" w14:textId="77777777" w:rsidR="00552C40" w:rsidRDefault="00552C4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</w:p>
    <w:p w14:paraId="72065F9D" w14:textId="535A9D41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 xml:space="preserve">Solution Q3.  </w:t>
      </w:r>
      <w:r w:rsidR="001E627F" w:rsidRPr="001E627F">
        <w:rPr>
          <w:rFonts w:ascii="Times New Roman" w:eastAsia="Times New Roman" w:hAnsi="Times New Roman" w:cs="Times New Roman"/>
          <w:b w:val="0"/>
        </w:rPr>
        <w:t>Mike’s request was not reasonable, as it did not respect the norms of fair and ethical authorship in academia. He should have acknowledged Lisa’s contributions by including her as a co-author, ensuring both the integrity of the research and the maintenance of a positive collaborative environment.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798F0BCF" w14:textId="77777777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C4F51D" w14:textId="77777777" w:rsidR="00552C40" w:rsidRDefault="00552C40">
      <w:pPr>
        <w:rPr>
          <w:rFonts w:ascii="Times New Roman" w:eastAsia="Times New Roman" w:hAnsi="Times New Roman" w:cs="Times New Roman"/>
          <w:b/>
        </w:rPr>
      </w:pPr>
    </w:p>
    <w:p w14:paraId="41FC4F8C" w14:textId="77777777" w:rsidR="00552C40" w:rsidRDefault="00552C40">
      <w:pPr>
        <w:rPr>
          <w:rFonts w:ascii="Times New Roman" w:eastAsia="Times New Roman" w:hAnsi="Times New Roman" w:cs="Times New Roman"/>
          <w:b/>
        </w:rPr>
      </w:pPr>
    </w:p>
    <w:p w14:paraId="07848B00" w14:textId="77777777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Q4. </w:t>
      </w:r>
      <w:r>
        <w:rPr>
          <w:rFonts w:ascii="Times New Roman" w:eastAsia="Times New Roman" w:hAnsi="Times New Roman" w:cs="Times New Roman"/>
          <w:b w:val="0"/>
        </w:rPr>
        <w:t>What were Lisa’s options when Mike first approached her with his experimental problem? During the experimental process? When Mike stated his wishes to publish as a single author?</w:t>
      </w:r>
    </w:p>
    <w:p w14:paraId="02D52A03" w14:textId="77777777" w:rsidR="00552C40" w:rsidRDefault="00552C4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</w:p>
    <w:p w14:paraId="536E8305" w14:textId="67D441C3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eastAsia="Times New Roman" w:hAnsi="Times New Roman" w:cs="Times New Roman"/>
        </w:rPr>
        <w:t xml:space="preserve">Solution Q4. </w:t>
      </w:r>
      <w:r w:rsidR="00EE27E5" w:rsidRPr="00EE27E5">
        <w:rPr>
          <w:rFonts w:ascii="Times New Roman" w:hAnsi="Times New Roman" w:cs="Times New Roman"/>
          <w:b w:val="0"/>
          <w:bCs/>
        </w:rPr>
        <w:t>Lisa had several options at each stage of the process, ranging from agreeing to assist to standing firm on her contributions. Ultimately, the choice of how to proceed would depend</w:t>
      </w:r>
      <w:r w:rsidR="00EE27E5" w:rsidRPr="00EE27E5">
        <w:rPr>
          <w:rFonts w:ascii="Times New Roman" w:hAnsi="Times New Roman" w:cs="Times New Roman"/>
          <w:b w:val="0"/>
          <w:bCs/>
        </w:rPr>
        <w:t xml:space="preserve"> </w:t>
      </w:r>
      <w:r w:rsidR="00EE27E5" w:rsidRPr="00EE27E5">
        <w:rPr>
          <w:rFonts w:ascii="Times New Roman" w:hAnsi="Times New Roman" w:cs="Times New Roman"/>
          <w:b w:val="0"/>
          <w:bCs/>
        </w:rPr>
        <w:t>on her values, professional goals, and the importance she placed on maintaining her relationship with Mike while ensuring her work was appropriately credited.</w:t>
      </w:r>
    </w:p>
    <w:p w14:paraId="7526452F" w14:textId="77777777" w:rsidR="00EE27E5" w:rsidRDefault="00EE27E5" w:rsidP="00EE27E5"/>
    <w:p w14:paraId="214C698F" w14:textId="77777777" w:rsidR="00EE27E5" w:rsidRDefault="00EE27E5" w:rsidP="00EE27E5"/>
    <w:p w14:paraId="71B23E4E" w14:textId="77777777" w:rsidR="00EE27E5" w:rsidRPr="00EE27E5" w:rsidRDefault="00EE27E5" w:rsidP="00EE27E5"/>
    <w:p w14:paraId="51A53813" w14:textId="77777777" w:rsidR="00552C40" w:rsidRDefault="00552C40">
      <w:pPr>
        <w:rPr>
          <w:rFonts w:ascii="Times New Roman" w:eastAsia="Times New Roman" w:hAnsi="Times New Roman" w:cs="Times New Roman"/>
          <w:b/>
        </w:rPr>
      </w:pPr>
    </w:p>
    <w:p w14:paraId="4A6501E6" w14:textId="77777777" w:rsidR="00552C40" w:rsidRDefault="00552C40">
      <w:pPr>
        <w:rPr>
          <w:rFonts w:ascii="Times New Roman" w:eastAsia="Times New Roman" w:hAnsi="Times New Roman" w:cs="Times New Roman"/>
          <w:b/>
        </w:rPr>
      </w:pPr>
    </w:p>
    <w:p w14:paraId="2006BBF5" w14:textId="77777777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Q5. </w:t>
      </w:r>
      <w:r>
        <w:rPr>
          <w:rFonts w:ascii="Times New Roman" w:eastAsia="Times New Roman" w:hAnsi="Times New Roman" w:cs="Times New Roman"/>
          <w:b w:val="0"/>
        </w:rPr>
        <w:t>Should Lisa have continued to help Mike with the experiment after their conversation? Should she have gone to Dr. Danson with her concerns?</w:t>
      </w:r>
    </w:p>
    <w:p w14:paraId="3D6572F5" w14:textId="77777777" w:rsidR="00552C40" w:rsidRDefault="00552C4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</w:p>
    <w:p w14:paraId="4993C285" w14:textId="026B5B44" w:rsidR="00552C40" w:rsidRDefault="00000000" w:rsidP="00EE27E5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 Q5.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 w:rsidR="00EE27E5" w:rsidRPr="00EE27E5">
        <w:rPr>
          <w:rFonts w:ascii="Times New Roman" w:eastAsia="Times New Roman" w:hAnsi="Times New Roman" w:cs="Times New Roman"/>
          <w:b w:val="0"/>
        </w:rPr>
        <w:t>Lisa’s decision to cease helping Mike after their conversation was appropriate given the lack of recognition for her work. In addition, bringing her concerns to Dr. Danson would have been a prudent step to ensure her contributions were acknowledged and to maintain the integrity of the research environment. This approach would have supported a culture of transparency and fairness, benefiting not only Lisa and Mike but also the broader research community.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9A45D4" w14:textId="77777777" w:rsidR="00552C40" w:rsidRDefault="00552C4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</w:p>
    <w:p w14:paraId="6D75A3DD" w14:textId="77777777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Q6. </w:t>
      </w:r>
      <w:r>
        <w:rPr>
          <w:rFonts w:ascii="Times New Roman" w:eastAsia="Times New Roman" w:hAnsi="Times New Roman" w:cs="Times New Roman"/>
          <w:b w:val="0"/>
        </w:rPr>
        <w:t>Why do you think authorship credit can be such a divisive issue among researchers?</w:t>
      </w:r>
    </w:p>
    <w:p w14:paraId="551C4AEC" w14:textId="77777777" w:rsidR="00552C40" w:rsidRDefault="00552C4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</w:rPr>
      </w:pPr>
    </w:p>
    <w:p w14:paraId="10B1622E" w14:textId="305370A5" w:rsidR="00552C40" w:rsidRDefault="00000000">
      <w:pPr>
        <w:pStyle w:val="Heading2"/>
        <w:tabs>
          <w:tab w:val="left" w:pos="1134"/>
        </w:tabs>
        <w:spacing w:line="276" w:lineRule="auto"/>
        <w:ind w:left="1276" w:right="99" w:hanging="455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 xml:space="preserve">Solution Q6. </w:t>
      </w:r>
      <w:r w:rsidR="00EE27E5" w:rsidRPr="00EE27E5">
        <w:rPr>
          <w:rFonts w:ascii="Times New Roman" w:eastAsia="Times New Roman" w:hAnsi="Times New Roman" w:cs="Times New Roman"/>
          <w:b w:val="0"/>
        </w:rPr>
        <w:t>authorship credit is a critical and sensitive issue in academia and scientific research due to its impact on recognition, career advancement, and ethical standards. Clear communication, transparent decision-making, and adherence to established guidelines can help mitigate conflicts and promote a fair and collaborative research environment.</w:t>
      </w:r>
    </w:p>
    <w:p w14:paraId="0010363D" w14:textId="77777777" w:rsidR="00552C40" w:rsidRDefault="00552C40">
      <w:pPr>
        <w:rPr>
          <w:rFonts w:ascii="Times New Roman" w:eastAsia="Times New Roman" w:hAnsi="Times New Roman" w:cs="Times New Roman"/>
          <w:b/>
        </w:rPr>
      </w:pPr>
    </w:p>
    <w:sectPr w:rsidR="00552C40">
      <w:headerReference w:type="default" r:id="rId7"/>
      <w:pgSz w:w="11906" w:h="16838"/>
      <w:pgMar w:top="851" w:right="1440" w:bottom="56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7DD4B" w14:textId="77777777" w:rsidR="000C39A1" w:rsidRDefault="000C39A1">
      <w:r>
        <w:separator/>
      </w:r>
    </w:p>
  </w:endnote>
  <w:endnote w:type="continuationSeparator" w:id="0">
    <w:p w14:paraId="52F1DA60" w14:textId="77777777" w:rsidR="000C39A1" w:rsidRDefault="000C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12412" w14:textId="77777777" w:rsidR="000C39A1" w:rsidRDefault="000C39A1">
      <w:r>
        <w:separator/>
      </w:r>
    </w:p>
  </w:footnote>
  <w:footnote w:type="continuationSeparator" w:id="0">
    <w:p w14:paraId="0FB0132C" w14:textId="77777777" w:rsidR="000C39A1" w:rsidRDefault="000C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61CEE" w14:textId="77777777" w:rsidR="00552C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>ODD Semester (July 2024-December 2024)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40"/>
    <w:rsid w:val="000C39A1"/>
    <w:rsid w:val="001E627F"/>
    <w:rsid w:val="00552C40"/>
    <w:rsid w:val="00D97C24"/>
    <w:rsid w:val="00EE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748"/>
  <w15:docId w15:val="{834C8BE8-0F90-48B1-8940-3DEED802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26" w:right="1126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82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56"/>
      <w:ind w:left="1126" w:right="993"/>
      <w:jc w:val="center"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 Jindal</cp:lastModifiedBy>
  <cp:revision>2</cp:revision>
  <dcterms:created xsi:type="dcterms:W3CDTF">2024-08-13T07:03:00Z</dcterms:created>
  <dcterms:modified xsi:type="dcterms:W3CDTF">2024-08-13T08:50:00Z</dcterms:modified>
</cp:coreProperties>
</file>