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[10],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under an explicitly defined contiguity structure.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Urban Morphological Index; Bhopal; GIS</w:t>
      </w:r>
    </w:p>
    <w:p>
      <w:pPr>
        <w:pBdr>
          <w:bottom w:val="single" w:color="0B0B0B" w:sz="4" w:space="2"/>
        </w:pBdr>
        <w:spacing w:after="100" w:before="220"/>
      </w:pPr>
      <w:r>
        <w:rPr>
          <w:b/>
          <w:bCs/>
          <w:sz w:val="21"/>
          <w:szCs w:val="21"/>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[10].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with a machine-learning framework that (i) computes a set of building-level morphological indicators for Bhopal within a regular 1 km analytical grid using Open Building Footprints (OBF) and World Settlement Footprint (WSF) data, with every derived field-level formula traced directly against the project's own attribute tables rather than assumed;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with an explicit spatial-weights definition; and (iv) reports both the favourable and unfavourable outcomes of that validation transparently, including where the chosen cluster solution is not the statistically optimal one and where a source formula could not be independently confirmed.</w:t>
      </w:r>
    </w:p>
    <w:p>
      <w:pPr>
        <w:pBdr>
          <w:bottom w:val="single" w:color="0B0B0B" w:sz="4" w:space="2"/>
        </w:pBdr>
        <w:spacing w:after="100" w:before="220"/>
      </w:pPr>
      <w:r>
        <w:rPr>
          <w:b/>
          <w:bCs/>
          <w:sz w:val="21"/>
          <w:szCs w:val="21"/>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pBdr>
          <w:bottom w:val="single" w:color="0B0B0B" w:sz="4" w:space="2"/>
        </w:pBdr>
        <w:spacing w:after="100" w:before="220"/>
      </w:pPr>
      <w:r>
        <w:rPr>
          <w:b/>
          <w:bCs/>
          <w:sz w:val="21"/>
          <w:szCs w:val="21"/>
        </w:rPr>
        <w:t xml:space="preserve">III. Materials and Methods</w:t>
      </w:r>
    </w:p>
    <w:p>
      <w:pPr>
        <w:spacing w:after="80" w:before="160"/>
      </w:pPr>
      <w:r>
        <w:rPr>
          <w:b/>
          <w:bCs/>
          <w:i/>
          <w:iCs/>
          <w:sz w:val="19"/>
          <w:szCs w:val="19"/>
        </w:rPr>
        <w:t xml:space="preserve">A. Data Sources</w:t>
      </w:r>
    </w:p>
    <w:p>
      <w:pPr>
        <w:spacing w:after="120"/>
        <w:jc w:val="both"/>
      </w:pPr>
      <w:r>
        <w:rPr>
          <w:sz w:val="20"/>
          <w:szCs w:val="20"/>
        </w:rPr>
        <w:t xml:space="preserve">Building geometry was drawn from an Open Building Footprints (OBF) dataset comprising 143,864 structures within the study grid, of the general type described for continental-scale building detection from satellite imagery [9].</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Both datasets were integrated with the 1 km analytical grid in QGIS 3.44 (Fig. 1).</w:t>
      </w:r>
    </w:p>
    <w:p>
      <w:pPr>
        <w:spacing w:after="80" w:before="160"/>
      </w:pPr>
      <w:r>
        <w:rPr>
          <w:b/>
          <w:bCs/>
          <w:i/>
          <w:iCs/>
          <w:sz w:val="19"/>
          <w:szCs w:val="19"/>
        </w:rPr>
        <w:t xml:space="preserve">B. Field-Level Definitions and Verified Formulas</w:t>
      </w:r>
    </w:p>
    <w:p>
      <w:pPr>
        <w:spacing w:after="120"/>
        <w:jc w:val="both"/>
      </w:pPr>
      <w:r>
        <w:rPr>
          <w:sz w:val="20"/>
          <w:szCs w:val="20"/>
        </w:rPr>
        <w:t xml:space="preserve">To keep every reported statistic traceable to the project's own attribute tables, each per-cell field used in this study is defined below and, where the underlying processing expression was not directly available, independently reverse-derived and numerically verified against the stored shapefile values rather than assumed.</w:t>
      </w:r>
    </w:p>
    <w:p>
      <w:pPr>
        <w:spacing w:after="120"/>
        <w:jc w:val="both"/>
      </w:pPr>
      <w:r>
        <w:rPr>
          <w:sz w:val="20"/>
          <w:szCs w:val="20"/>
        </w:rPr>
        <w:t xml:space="preserve">1) Grid cell area: for a complete (non-boundary) cell,</w:t>
      </w:r>
    </w:p>
    <w:p>
      <w:pPr>
        <w:spacing w:after="100" w:before="60"/>
        <w:jc w:val="center"/>
      </w:pPr>
      <m:oMath>
        <m:sSub>
          <m:sSubPr/>
          <m:e>
            <m:r>
              <m:t>A</m:t>
            </m:r>
          </m:e>
          <m:sub>
            <m:r>
              <m:t>grid</m:t>
            </m:r>
          </m:sub>
        </m:sSub>
        <m:r>
          <m:t> = 1 km × 1 km = 1,000,000 </m:t>
        </m:r>
        <m:sSup>
          <m:sSupPr/>
          <m:e>
            <m:r>
              <m:t>m</m:t>
            </m:r>
          </m:e>
          <m:sup>
            <m:r>
              <m:t>2</m:t>
            </m:r>
          </m:sup>
        </m:sSup>
      </m:oMath>
      <w:r>
        <w:rPr>
          <w:sz w:val="20"/>
          <w:szCs w:val="20"/>
        </w:rPr>
        <w:t xml:space="preserve">    (1)</w:t>
      </w:r>
    </w:p>
    <w:p>
      <w:pPr>
        <w:spacing w:after="120"/>
        <w:jc w:val="both"/>
      </w:pPr>
      <w:r>
        <w:rPr>
          <w:sz w:val="20"/>
          <w:szCs w:val="20"/>
        </w:rPr>
        <w:t xml:space="preserve">Boundary cells clipped by the municipal limit have smaller areas (field area_km2 ranges 0.001-0.999 km² in the grid attribute table).</w:t>
      </w:r>
    </w:p>
    <w:p>
      <w:pPr>
        <w:spacing w:after="120"/>
        <w:jc w:val="both"/>
      </w:pPr>
      <w:r>
        <w:rPr>
          <w:sz w:val="20"/>
          <w:szCs w:val="20"/>
        </w:rPr>
        <w:t xml:space="preserve">2) Building count per cell:</w:t>
      </w:r>
    </w:p>
    <w:p>
      <w:pPr>
        <w:spacing w:after="100" w:before="60"/>
        <w:jc w:val="center"/>
      </w:pPr>
      <m:oMath>
        <m:sSub>
          <m:sSubPr/>
          <m:e>
            <m:r>
              <m:t>BC</m:t>
            </m:r>
          </m:e>
          <m:sub>
            <m:r>
              <m:t>i</m:t>
            </m:r>
          </m:sub>
        </m:sSub>
        <m:r>
          <m:t> = </m:t>
        </m:r>
        <m:sSub>
          <m:sSubPr/>
          <m:e>
            <m:r>
              <m:t>N</m:t>
            </m:r>
          </m:e>
          <m:sub>
            <m:r>
              <m:t>i</m:t>
            </m:r>
          </m:sub>
        </m:sSub>
      </m:oMath>
      <w:r>
        <w:rPr>
          <w:sz w:val="20"/>
          <w:szCs w:val="20"/>
        </w:rPr>
        <w:t xml:space="preserve">    (2)</w:t>
      </w:r>
    </w:p>
    <w:p>
      <w:pPr>
        <w:spacing w:after="120"/>
        <w:jc w:val="both"/>
      </w:pPr>
      <w:r>
        <w:rPr>
          <w:sz w:val="20"/>
          <w:szCs w:val="20"/>
        </w:rPr>
        <w:t xml:space="preserve">where N_i is the number of OBF polygons within cell i; this is one of the five UMAP input variables.</w:t>
      </w:r>
    </w:p>
    <w:p>
      <w:pPr>
        <w:spacing w:after="120"/>
        <w:jc w:val="both"/>
      </w:pPr>
      <w:r>
        <w:rPr>
          <w:sz w:val="20"/>
          <w:szCs w:val="20"/>
        </w:rPr>
        <w:t xml:space="preserve">3) Total and mean building footprint area:</w:t>
      </w:r>
    </w:p>
    <w:p>
      <w:pPr>
        <w:spacing w:after="100" w:before="60"/>
        <w:jc w:val="center"/>
      </w:pPr>
      <m:oMath>
        <m:sSub>
          <m:sSubPr/>
          <m:e>
            <m:r>
              <m:t>BA</m:t>
            </m:r>
          </m:e>
          <m:sub>
            <m:r>
              <m:t>i</m:t>
            </m:r>
          </m:sub>
        </m:sSub>
        <m:r>
          <m:t> = </m:t>
        </m:r>
        <m:nary>
          <m:naryPr>
            <m:chr m:val="∑"/>
            <m:limLoc m:val="undOvr"/>
            <m:supHide m:val="1"/>
          </m:naryPr>
          <m:sub>
            <m:r>
              <m:t>j</m:t>
            </m:r>
          </m:sub>
          <m:e>
            <m:sSub>
              <m:sSubPr/>
              <m:e>
                <m:r>
                  <m:t>A</m:t>
                </m:r>
              </m:e>
              <m:sub>
                <m:r>
                  <m:t>ij</m:t>
                </m:r>
              </m:sub>
            </m:sSub>
          </m:e>
        </m:nary>
      </m:oMath>
      <w:r>
        <w:rPr>
          <w:sz w:val="20"/>
          <w:szCs w:val="20"/>
        </w:rPr>
        <w:t xml:space="preserve">    (3)</w:t>
      </w:r>
    </w:p>
    <w:p>
      <w:pPr>
        <w:spacing w:after="100" w:before="60"/>
        <w:jc w:val="center"/>
      </w:pPr>
      <m:oMath>
        <m:sSub>
          <m:sSubPr/>
          <m:e>
            <m:r>
              <m:t>Ā</m:t>
            </m:r>
          </m:e>
          <m:sub>
            <m:r>
              <m:t>i</m:t>
            </m:r>
          </m:sub>
        </m:sSub>
        <m:r>
          <m:t> = </m:t>
        </m:r>
        <m:f>
          <m:num>
            <m:sSub>
              <m:sSubPr/>
              <m:e>
                <m:r>
                  <m:t>BA</m:t>
                </m:r>
              </m:e>
              <m:sub>
                <m:r>
                  <m:t>i</m:t>
                </m:r>
              </m:sub>
            </m:sSub>
          </m:num>
          <m:den>
            <m:sSub>
              <m:sSubPr/>
              <m:e>
                <m:r>
                  <m:t>N</m:t>
                </m:r>
              </m:e>
              <m:sub>
                <m:r>
                  <m:t>i</m:t>
                </m:r>
              </m:sub>
            </m:sSub>
          </m:den>
        </m:f>
      </m:oMath>
      <w:r>
        <w:rPr>
          <w:sz w:val="20"/>
          <w:szCs w:val="20"/>
        </w:rPr>
        <w:t xml:space="preserve">    (4)</w:t>
      </w:r>
    </w:p>
    <w:p>
      <w:pPr>
        <w:spacing w:after="120"/>
        <w:jc w:val="both"/>
      </w:pPr>
      <w:r>
        <w:rPr>
          <w:sz w:val="20"/>
          <w:szCs w:val="20"/>
        </w:rPr>
        <w:t xml:space="preserve">where A_ij is the footprint area of building j in cell i (field area_m2_su holds the aggregated sum).</w:t>
      </w:r>
    </w:p>
    <w:p>
      <w:pPr>
        <w:spacing w:after="120"/>
        <w:jc w:val="both"/>
      </w:pPr>
      <w:r>
        <w:rPr>
          <w:sz w:val="20"/>
          <w:szCs w:val="20"/>
        </w:rPr>
        <w:t xml:space="preserve">4) Maximum footprint area:</w:t>
      </w:r>
    </w:p>
    <w:p>
      <w:pPr>
        <w:spacing w:after="100" w:before="60"/>
        <w:jc w:val="center"/>
      </w:pPr>
      <m:oMath>
        <m:sSub>
          <m:sSubPr/>
          <m:e>
            <m:r>
              <m:t>A</m:t>
            </m:r>
            <m:r>
              <m:t>max</m:t>
            </m:r>
          </m:e>
          <m:sub>
            <m:r>
              <m:t>i</m:t>
            </m:r>
          </m:sub>
        </m:sSub>
        <m:r>
          <m:t> = max(</m:t>
        </m:r>
        <m:sSub>
          <m:sSubPr/>
          <m:e>
            <m:r>
              <m:t>A</m:t>
            </m:r>
          </m:e>
          <m:sub>
            <m:r>
              <m:t>i1</m:t>
            </m:r>
          </m:sub>
        </m:sSub>
        <m:r>
          <m:t>, </m:t>
        </m:r>
        <m:sSub>
          <m:sSubPr/>
          <m:e>
            <m:r>
              <m:t>A</m:t>
            </m:r>
          </m:e>
          <m:sub>
            <m:r>
              <m:t>i2</m:t>
            </m:r>
          </m:sub>
        </m:sSub>
        <m:r>
          <m:t>, …, </m:t>
        </m:r>
        <m:sSub>
          <m:sSubPr/>
          <m:e>
            <m:r>
              <m:t>A</m:t>
            </m:r>
          </m:e>
          <m:sub>
            <m:r>
              <m:t>iN</m:t>
            </m:r>
          </m:sub>
        </m:sSub>
        <m:r>
          <m:t>)</m:t>
        </m:r>
      </m:oMath>
      <w:r>
        <w:rPr>
          <w:sz w:val="20"/>
          <w:szCs w:val="20"/>
        </w:rPr>
        <w:t xml:space="preserve">    (5)</w:t>
      </w:r>
    </w:p>
    <w:p>
      <w:pPr>
        <w:spacing w:after="120"/>
        <w:jc w:val="both"/>
      </w:pPr>
      <w:r>
        <w:rPr>
          <w:sz w:val="20"/>
          <w:szCs w:val="20"/>
        </w:rPr>
        <w:t xml:space="preserve">5) Standard deviation of footprint area within a cell:</w:t>
      </w:r>
    </w:p>
    <w:p>
      <w:pPr>
        <w:spacing w:after="100" w:before="60"/>
        <w:jc w:val="center"/>
      </w:pPr>
      <m:oMath>
        <m:sSub>
          <m:sSubPr/>
          <m:e>
            <m:r>
              <m:t>SD</m:t>
            </m:r>
          </m:e>
          <m:sub>
            <m:r>
              <m:t>i</m:t>
            </m:r>
          </m:sub>
        </m:sSub>
        <m:r>
          <m:t> = </m:t>
        </m:r>
        <m:rad>
          <m:radPr>
            <m:degHide m:val="1"/>
          </m:radPr>
          <m:deg/>
          <m:e>
            <m:f>
              <m:num>
                <m:nary>
                  <m:naryPr>
                    <m:chr m:val="∑"/>
                    <m:limLoc m:val="undOvr"/>
                    <m:supHide m:val="1"/>
                  </m:naryPr>
                  <m:sub>
                    <m:r>
                      <m:t>j</m:t>
                    </m:r>
                  </m:sub>
                  <m:e>
                    <m:sSup>
                      <m:sSupPr/>
                      <m:e>
                        <m:r>
                          <m:t>(</m:t>
                        </m:r>
                        <m:sSub>
                          <m:sSubPr/>
                          <m:e>
                            <m:r>
                              <m:t>A</m:t>
                            </m:r>
                          </m:e>
                          <m:sub>
                            <m:r>
                              <m:t>ij</m:t>
                            </m:r>
                          </m:sub>
                        </m:sSub>
                        <m:r>
                          <m:t> − </m:t>
                        </m:r>
                        <m:sSub>
                          <m:sSubPr/>
                          <m:e>
                            <m:r>
                              <m:t>Ā</m:t>
                            </m:r>
                          </m:e>
                          <m:sub>
                            <m:r>
                              <m:t>i</m:t>
                            </m:r>
                          </m:sub>
                        </m:sSub>
                        <m:r>
                          <m:t>)</m:t>
                        </m:r>
                      </m:e>
                      <m:sup>
                        <m:r>
                          <m:t>2</m:t>
                        </m:r>
                      </m:sup>
                    </m:sSup>
                  </m:e>
                </m:nary>
              </m:num>
              <m:den>
                <m:r>
                  <m:t>(</m:t>
                </m:r>
                <m:sSub>
                  <m:sSubPr/>
                  <m:e>
                    <m:r>
                      <m:t>N</m:t>
                    </m:r>
                  </m:e>
                  <m:sub>
                    <m:r>
                      <m:t>i</m:t>
                    </m:r>
                  </m:sub>
                </m:sSub>
                <m:r>
                  <m:t> − 1)</m:t>
                </m:r>
              </m:den>
            </m:f>
          </m:e>
        </m:rad>
      </m:oMath>
      <w:r>
        <w:rPr>
          <w:sz w:val="20"/>
          <w:szCs w:val="20"/>
        </w:rPr>
        <w:t xml:space="preserve">    (6)</w:t>
      </w:r>
    </w:p>
    <w:p>
      <w:pPr>
        <w:spacing w:after="120"/>
        <w:jc w:val="both"/>
      </w:pPr>
      <w:r>
        <w:rPr>
          <w:sz w:val="20"/>
          <w:szCs w:val="20"/>
        </w:rPr>
        <w:t xml:space="preserve">6) Built-up density, the ratio of summed footprint area to cell area (×100 for percent):</w:t>
      </w:r>
    </w:p>
    <w:p>
      <w:pPr>
        <w:spacing w:after="100" w:before="60"/>
        <w:jc w:val="center"/>
      </w:pPr>
      <m:oMath>
        <m:sSub>
          <m:sSubPr/>
          <m:e>
            <m:r>
              <m:t>D</m:t>
            </m:r>
          </m:e>
          <m:sub>
            <m:r>
              <m:t>i</m:t>
            </m:r>
          </m:sub>
        </m:sSub>
        <m:r>
          <m:t> = </m:t>
        </m:r>
        <m:f>
          <m:num>
            <m:sSub>
              <m:sSubPr/>
              <m:e>
                <m:r>
                  <m:t>BA</m:t>
                </m:r>
              </m:e>
              <m:sub>
                <m:r>
                  <m:t>i</m:t>
                </m:r>
              </m:sub>
            </m:sSub>
          </m:num>
          <m:den>
            <m:sSub>
              <m:sSubPr/>
              <m:e>
                <m:r>
                  <m:t>A</m:t>
                </m:r>
                <m:r>
                  <m:t>grid</m:t>
                </m:r>
              </m:e>
              <m:sub>
                <m:r>
                  <m:t>i</m:t>
                </m:r>
              </m:sub>
            </m:sSub>
          </m:den>
        </m:f>
      </m:oMath>
      <w:r>
        <w:rPr>
          <w:sz w:val="20"/>
          <w:szCs w:val="20"/>
        </w:rPr>
        <w:t xml:space="preserve">    (7)</w:t>
      </w:r>
    </w:p>
    <w:p>
      <w:pPr>
        <w:spacing w:after="120"/>
        <w:jc w:val="both"/>
      </w:pPr>
      <w:r>
        <w:rPr>
          <w:sz w:val="20"/>
          <w:szCs w:val="20"/>
        </w:rPr>
        <w:t xml:space="preserve">7) OBF percentage and its normalized form. OBF% is read directly from the grid attribute field obf_pct; obf_n was verified, across all 495 grid cells, to be a max-normalization of obf_pct rather than a simple percent-to-fraction conversion (max abs. residual 0.0005 against max-normalization vs. 0.47 against the percent/100 form, ruling the latter out):</w:t>
      </w:r>
    </w:p>
    <w:p>
      <w:pPr>
        <w:spacing w:after="100" w:before="60"/>
        <w:jc w:val="center"/>
      </w:pPr>
      <m:oMath>
        <m:sSub>
          <m:sSubPr/>
          <m:e>
            <m:r>
              <m:t>OBF%</m:t>
            </m:r>
          </m:e>
          <m:sub>
            <m:r>
              <m:t>i</m:t>
            </m:r>
          </m:sub>
        </m:sSub>
        <m:r>
          <m:t> = </m:t>
        </m:r>
        <m:f>
          <m:num>
            <m:sSub>
              <m:sSubPr/>
              <m:e>
                <m:r>
                  <m:t>A</m:t>
                </m:r>
                <m:r>
                  <m:t>OBF</m:t>
                </m:r>
              </m:e>
              <m:sub>
                <m:r>
                  <m:t>i</m:t>
                </m:r>
              </m:sub>
            </m:sSub>
          </m:num>
          <m:den>
            <m:sSub>
              <m:sSubPr/>
              <m:e>
                <m:r>
                  <m:t>A</m:t>
                </m:r>
                <m:r>
                  <m:t>grid</m:t>
                </m:r>
              </m:e>
              <m:sub>
                <m:r>
                  <m:t>i</m:t>
                </m:r>
              </m:sub>
            </m:sSub>
          </m:den>
        </m:f>
        <m:r>
          <m:t> × 100</m:t>
        </m:r>
      </m:oMath>
      <w:r>
        <w:rPr>
          <w:sz w:val="20"/>
          <w:szCs w:val="20"/>
        </w:rPr>
        <w:t xml:space="preserve">    (8)</w:t>
      </w:r>
    </w:p>
    <w:p>
      <w:pPr>
        <w:spacing w:after="100" w:before="60"/>
        <w:jc w:val="center"/>
      </w:pPr>
      <m:oMath>
        <m:sSub>
          <m:sSubPr/>
          <m:e>
            <m:r>
              <m:t>OBF</m:t>
            </m:r>
          </m:e>
          <m:sub>
            <m:r>
              <m:t>n,i</m:t>
            </m:r>
          </m:sub>
        </m:sSub>
        <m:r>
          <m:t> = </m:t>
        </m:r>
        <m:f>
          <m:num>
            <m:sSub>
              <m:sSubPr/>
              <m:e>
                <m:r>
                  <m:t>OBF%</m:t>
                </m:r>
              </m:e>
              <m:sub>
                <m:r>
                  <m:t>i</m:t>
                </m:r>
              </m:sub>
            </m:sSub>
          </m:num>
          <m:den>
            <m:r>
              <m:t>max(OBF%)</m:t>
            </m:r>
          </m:den>
        </m:f>
      </m:oMath>
      <w:r>
        <w:rPr>
          <w:sz w:val="20"/>
          <w:szCs w:val="20"/>
        </w:rPr>
        <w:t xml:space="preserve">    (9)</w:t>
      </w:r>
    </w:p>
    <w:p>
      <w:pPr>
        <w:spacing w:after="120"/>
        <w:jc w:val="both"/>
      </w:pPr>
      <w:r>
        <w:rPr>
          <w:sz w:val="20"/>
          <w:szCs w:val="20"/>
        </w:rPr>
        <w:t xml:space="preserve">with max(OBF%) = 53.151 (the dataset maximum, at grid cell id 671).</w:t>
      </w:r>
    </w:p>
    <w:p>
      <w:pPr>
        <w:spacing w:after="120"/>
        <w:jc w:val="both"/>
      </w:pPr>
      <w:r>
        <w:rPr>
          <w:sz w:val="20"/>
          <w:szCs w:val="20"/>
        </w:rPr>
        <w:t xml:space="preserve">8) Building-count normalization (bld_n), likewise verified as a max-normalization of the raw building count (fid_count) across all 423 populated cells (max abs. residual 0.0005):</w:t>
      </w:r>
    </w:p>
    <w:p>
      <w:pPr>
        <w:spacing w:after="100" w:before="60"/>
        <w:jc w:val="center"/>
      </w:pPr>
      <m:oMath>
        <m:sSub>
          <m:sSubPr/>
          <m:e>
            <m:r>
              <m:t>bld</m:t>
            </m:r>
          </m:e>
          <m:sub>
            <m:r>
              <m:t>n,i</m:t>
            </m:r>
          </m:sub>
        </m:sSub>
        <m:r>
          <m:t> = </m:t>
        </m:r>
        <m:f>
          <m:num>
            <m:sSub>
              <m:sSubPr/>
              <m:e>
                <m:r>
                  <m:t>fid_count</m:t>
                </m:r>
              </m:e>
              <m:sub>
                <m:r>
                  <m:t>i</m:t>
                </m:r>
              </m:sub>
            </m:sSub>
          </m:num>
          <m:den>
            <m:r>
              <m:t>max(fid_count)</m:t>
            </m:r>
          </m:den>
        </m:f>
        <m:r>
          <m:t> ,   max(fid_count) = 1771</m:t>
        </m:r>
      </m:oMath>
      <w:r>
        <w:rPr>
          <w:sz w:val="20"/>
          <w:szCs w:val="20"/>
        </w:rPr>
        <w:t xml:space="preserve">    (10)</w:t>
      </w:r>
    </w:p>
    <w:p>
      <w:pPr>
        <w:spacing w:after="120"/>
        <w:jc w:val="both"/>
      </w:pPr>
      <w:r>
        <w:rPr>
          <w:sz w:val="20"/>
          <w:szCs w:val="20"/>
        </w:rPr>
        <w:t xml:space="preserve">9) WSF normalization (wsf_n), verified as a max-normalization of the mean WSF settlement-likelihood value (DN_mean) per cell across all 495 cells (max abs. residual 0.0005):</w:t>
      </w:r>
    </w:p>
    <w:p>
      <w:pPr>
        <w:spacing w:after="100" w:before="60"/>
        <w:jc w:val="center"/>
      </w:pPr>
      <m:oMath>
        <m:sSub>
          <m:sSubPr/>
          <m:e>
            <m:r>
              <m:t>WSF</m:t>
            </m:r>
          </m:e>
          <m:sub>
            <m:r>
              <m:t>n,i</m:t>
            </m:r>
          </m:sub>
        </m:sSub>
        <m:r>
          <m:t> = </m:t>
        </m:r>
        <m:f>
          <m:num>
            <m:sSub>
              <m:sSubPr/>
              <m:e>
                <m:r>
                  <m:t>DN_mean</m:t>
                </m:r>
              </m:e>
              <m:sub>
                <m:r>
                  <m:t>i</m:t>
                </m:r>
              </m:sub>
            </m:sSub>
          </m:num>
          <m:den>
            <m:r>
              <m:t>max(DN_mean)</m:t>
            </m:r>
          </m:den>
        </m:f>
        <m:r>
          <m:t> ,   max(DN_mean) = 248.625</m:t>
        </m:r>
      </m:oMath>
      <w:r>
        <w:rPr>
          <w:sz w:val="20"/>
          <w:szCs w:val="20"/>
        </w:rPr>
        <w:t xml:space="preserve">    (11)</w:t>
      </w:r>
    </w:p>
    <w:p>
      <w:pPr>
        <w:spacing w:after="120"/>
        <w:jc w:val="both"/>
      </w:pPr>
      <w:r>
        <w:rPr>
          <w:sz w:val="20"/>
          <w:szCs w:val="20"/>
        </w:rPr>
        <w:t xml:space="preserve">The corresponding QGIS Field Calculator expressions, as recalled by the authors, are "obf_pct" / maximum("obf_pct"), "fid_count" / maximum("fid_count"), and "DN_mean" / maximum("DN_mean") respectively -- consistent with the independently verified mathematical form above.</w:t>
      </w:r>
    </w:p>
    <w:p>
      <w:pPr>
        <w:spacing w:after="120"/>
        <w:jc w:val="both"/>
      </w:pPr>
      <w:r>
        <w:rPr>
          <w:sz w:val="20"/>
          <w:szCs w:val="20"/>
        </w:rPr>
        <w:t xml:space="preserve">10) Urban Morphological Index (UMI): verified against every one of the 423 valid grid cells in the delivered attribute table (e.g., cell id 247: obf_n=0.009, bld_n=0.009, wsf_n=0.988 → UMI=0.335 exactly as stored),</w:t>
      </w:r>
    </w:p>
    <w:p>
      <w:pPr>
        <w:spacing w:after="100" w:before="60"/>
        <w:jc w:val="center"/>
      </w:pPr>
      <m:oMath>
        <m:sSub>
          <m:sSubPr/>
          <m:e>
            <m:r>
              <m:t>UMI</m:t>
            </m:r>
          </m:e>
          <m:sub>
            <m:r>
              <m:t>i</m:t>
            </m:r>
          </m:sub>
        </m:sSub>
        <m:r>
          <m:t> = </m:t>
        </m:r>
        <m:f>
          <m:num>
            <m:sSub>
              <m:sSubPr/>
              <m:e>
                <m:r>
                  <m:t>OBF</m:t>
                </m:r>
              </m:e>
              <m:sub>
                <m:r>
                  <m:t>n,i</m:t>
                </m:r>
              </m:sub>
            </m:sSub>
            <m:r>
              <m:t> + </m:t>
            </m:r>
            <m:sSub>
              <m:sSubPr/>
              <m:e>
                <m:r>
                  <m:t>bld</m:t>
                </m:r>
              </m:e>
              <m:sub>
                <m:r>
                  <m:t>n,i</m:t>
                </m:r>
              </m:sub>
            </m:sSub>
            <m:r>
              <m:t> + </m:t>
            </m:r>
            <m:sSub>
              <m:sSubPr/>
              <m:e>
                <m:r>
                  <m:t>WSF</m:t>
                </m:r>
              </m:e>
              <m:sub>
                <m:r>
                  <m:t>n,i</m:t>
                </m:r>
              </m:sub>
            </m:sSub>
          </m:num>
          <m:den>
            <m:r>
              <m:t>3</m:t>
            </m:r>
          </m:den>
        </m:f>
      </m:oMath>
      <w:r>
        <w:rPr>
          <w:sz w:val="20"/>
          <w:szCs w:val="20"/>
        </w:rPr>
        <w:t xml:space="preserve">    (12)</w:t>
      </w:r>
    </w:p>
    <w:p>
      <w:pPr>
        <w:spacing w:after="120"/>
        <w:jc w:val="both"/>
      </w:pPr>
      <w:r>
        <w:rPr>
          <w:sz w:val="20"/>
          <w:szCs w:val="20"/>
        </w:rPr>
        <w:t xml:space="preserve">11) Weighted UMI (UMI_w): unlike UMI, this field is not a simple mean. We recovered its weighting by ordinary least-squares regression of UMI_w on (OBF_n, bld_n, WSF_n) with no intercept across all 423 valid cells, obtaining weights of 0.400, 0.400, and 0.200 respectively, with a maximum absolute residual of 0.00046 across every cell (consistent with field rounding rather than model error):</w:t>
      </w:r>
    </w:p>
    <w:p>
      <w:pPr>
        <w:spacing w:after="100" w:before="60"/>
        <w:jc w:val="center"/>
      </w:pPr>
      <m:oMath>
        <m:sSub>
          <m:sSubPr/>
          <m:e>
            <m:r>
              <m:t>UMI</m:t>
            </m:r>
          </m:e>
          <m:sub>
            <m:r>
              <m:t>w,i</m:t>
            </m:r>
          </m:sub>
        </m:sSub>
        <m:r>
          <m:t> = 0.4·</m:t>
        </m:r>
        <m:sSub>
          <m:sSubPr/>
          <m:e>
            <m:r>
              <m:t>OBF</m:t>
            </m:r>
          </m:e>
          <m:sub>
            <m:r>
              <m:t>n,i</m:t>
            </m:r>
          </m:sub>
        </m:sSub>
        <m:r>
          <m:t> + 0.4·</m:t>
        </m:r>
        <m:sSub>
          <m:sSubPr/>
          <m:e>
            <m:r>
              <m:t>bld</m:t>
            </m:r>
          </m:e>
          <m:sub>
            <m:r>
              <m:t>n,i</m:t>
            </m:r>
          </m:sub>
        </m:sSub>
        <m:r>
          <m:t> + 0.2·</m:t>
        </m:r>
        <m:sSub>
          <m:sSubPr/>
          <m:e>
            <m:r>
              <m:t>WSF</m:t>
            </m:r>
          </m:e>
          <m:sub>
            <m:r>
              <m:t>n,i</m:t>
            </m:r>
          </m:sub>
        </m:sSub>
      </m:oMath>
      <w:r>
        <w:rPr>
          <w:sz w:val="20"/>
          <w:szCs w:val="20"/>
        </w:rPr>
        <w:t xml:space="preserve">    (13)</w:t>
      </w:r>
    </w:p>
    <w:p>
      <w:pPr>
        <w:spacing w:after="120"/>
      </w:pPr>
      <w:r>
        <w:rPr>
          <w:i/>
          <w:iCs/>
          <w:color w:val="C00000"/>
          <w:sz w:val="20"/>
          <w:szCs w:val="20"/>
        </w:rPr>
        <w:t xml:space="preserve">[AUTHOR TO CONFIRM: Eq. (13) is an empirically recovered fit (n=423, max abs. residual 0.00046), not a value confirmed from the original processing script -- state this explicitly in the paper and, if possible, confirm against the source QGIS model before submission]</w:t>
      </w:r>
    </w:p>
    <w:p>
      <w:pPr>
        <w:spacing w:after="80" w:before="160"/>
      </w:pPr>
      <w:r>
        <w:rPr>
          <w:b/>
          <w:bCs/>
          <w:i/>
          <w:iCs/>
          <w:sz w:val="19"/>
          <w:szCs w:val="19"/>
        </w:rPr>
        <w:t xml:space="preserve">C. Standardization and Dimensionality Reduction</w:t>
      </w:r>
    </w:p>
    <w:p>
      <w:pPr>
        <w:spacing w:after="120"/>
        <w:jc w:val="both"/>
      </w:pPr>
      <w:r>
        <w:rPr>
          <w:sz w:val="20"/>
          <w:szCs w:val="20"/>
        </w:rPr>
        <w:t xml:space="preserve">The five morphology indicators (building count, density, mean/maximum/standard-deviation of footprint area) were z-score standardized across all grid cells,</w:t>
      </w:r>
    </w:p>
    <w:p>
      <w:pPr>
        <w:spacing w:after="100" w:before="60"/>
        <w:jc w:val="center"/>
      </w:pPr>
      <m:oMath>
        <m:sSub>
          <m:sSubPr/>
          <m:e>
            <m:r>
              <m:t>Z</m:t>
            </m:r>
          </m:e>
          <m:sub>
            <m:r>
              <m:t>ij</m:t>
            </m:r>
          </m:sub>
        </m:sSub>
        <m:r>
          <m:t> = </m:t>
        </m:r>
        <m:f>
          <m:num>
            <m:r>
              <m:t>(</m:t>
            </m:r>
            <m:sSub>
              <m:sSubPr/>
              <m:e>
                <m:r>
                  <m:t>X</m:t>
                </m:r>
              </m:e>
              <m:sub>
                <m:r>
                  <m:t>ij</m:t>
                </m:r>
              </m:sub>
            </m:sSub>
            <m:r>
              <m:t> − </m:t>
            </m:r>
            <m:sSub>
              <m:sSubPr/>
              <m:e>
                <m:r>
                  <m:t>μ</m:t>
                </m:r>
              </m:e>
              <m:sub>
                <m:r>
                  <m:t>j</m:t>
                </m:r>
              </m:sub>
            </m:sSub>
            <m:r>
              <m:t>)</m:t>
            </m:r>
          </m:num>
          <m:den>
            <m:sSub>
              <m:sSubPr/>
              <m:e>
                <m:r>
                  <m:t>σ</m:t>
                </m:r>
              </m:e>
              <m:sub>
                <m:r>
                  <m:t>j</m:t>
                </m:r>
              </m:sub>
            </m:sSub>
          </m:den>
        </m:f>
      </m:oMath>
      <w:r>
        <w:rPr>
          <w:sz w:val="20"/>
          <w:szCs w:val="20"/>
        </w:rPr>
        <w:t xml:space="preserve">    (14)</w:t>
      </w:r>
    </w:p>
    <w:p>
      <w:pPr>
        <w:spacing w:after="120"/>
        <w:jc w:val="both"/>
      </w:pPr>
      <w:r>
        <w:rPr>
          <w:sz w:val="20"/>
          <w:szCs w:val="20"/>
        </w:rPr>
        <w:t xml:space="preserve">and projected into a two-dimensional embedding using UMAP [2], which preserves local neighbourhood structure, with hyperparameters n_neighbors=15, min_dist=0.10, n_components=2, metric=Euclidean, and random_state=42:</w:t>
      </w:r>
    </w:p>
    <w:p>
      <w:pPr>
        <w:spacing w:after="100" w:before="60"/>
        <w:jc w:val="center"/>
      </w:pPr>
      <m:oMath>
        <m:r>
          <m:t>X (n×5) → Z (n×5) → Y (n×2)</m:t>
        </m:r>
      </m:oMath>
      <w:r>
        <w:rPr>
          <w:sz w:val="20"/>
          <w:szCs w:val="20"/>
        </w:rPr>
        <w:t xml:space="preserve">    (15)</w:t>
      </w:r>
    </w:p>
    <w:p>
      <w:pPr>
        <w:spacing w:after="80" w:before="160"/>
      </w:pPr>
      <w:r>
        <w:rPr>
          <w:b/>
          <w:bCs/>
          <w:i/>
          <w:iCs/>
          <w:sz w:val="19"/>
          <w:szCs w:val="19"/>
        </w:rPr>
        <w:t xml:space="preserve">D. K-Means Clustering</w:t>
      </w:r>
    </w:p>
    <w:p>
      <w:pPr>
        <w:spacing w:after="120"/>
        <w:jc w:val="both"/>
      </w:pPr>
      <w:r>
        <w:rPr>
          <w:sz w:val="20"/>
          <w:szCs w:val="20"/>
        </w:rPr>
        <w:t xml:space="preserve">K-Means [5] with k=6 was applied to the UMAP embedding Y, minimizing the within-cluster sum of squares,</w:t>
      </w:r>
    </w:p>
    <w:p>
      <w:pPr>
        <w:spacing w:after="100" w:before="60"/>
        <w:jc w:val="center"/>
      </w:pPr>
      <m:oMath>
        <m:r>
          <m:t>min </m:t>
        </m:r>
        <m:nary>
          <m:naryPr>
            <m:chr m:val="∑"/>
            <m:limLoc m:val="undOvr"/>
          </m:naryPr>
          <m:sub>
            <m:r>
              <m:t>k=1</m:t>
            </m:r>
          </m:sub>
          <m:sup>
            <m:r>
              <m:t>K</m:t>
            </m:r>
          </m:sup>
          <m:e>
            <m:nary>
              <m:naryPr>
                <m:chr m:val="∑"/>
                <m:limLoc m:val="undOvr"/>
                <m:supHide m:val="1"/>
              </m:naryPr>
              <m:sub>
                <m:r>
                  <m:t>xᵢ∈Cₖ</m:t>
                </m:r>
              </m:sub>
              <m:e>
                <m:sSup>
                  <m:sSupPr/>
                  <m:e>
                    <m:r>
                      <m:t>‖</m:t>
                    </m:r>
                    <m:sSub>
                      <m:sSubPr/>
                      <m:e>
                        <m:r>
                          <m:t>x</m:t>
                        </m:r>
                      </m:e>
                      <m:sub>
                        <m:r>
                          <m:t>i</m:t>
                        </m:r>
                      </m:sub>
                    </m:sSub>
                    <m:r>
                      <m:t> − </m:t>
                    </m:r>
                    <m:sSub>
                      <m:sSubPr/>
                      <m:e>
                        <m:r>
                          <m:t>μ</m:t>
                        </m:r>
                      </m:e>
                      <m:sub>
                        <m:r>
                          <m:t>k</m:t>
                        </m:r>
                      </m:sub>
                    </m:sSub>
                    <m:r>
                      <m:t>‖</m:t>
                    </m:r>
                  </m:e>
                  <m:sup>
                    <m:r>
                      <m:t>2</m:t>
                    </m:r>
                  </m:sup>
                </m:sSup>
              </m:e>
            </m:nary>
          </m:e>
        </m:nary>
        <m:r>
          <m:t> ,  K = 6</m:t>
        </m:r>
      </m:oMath>
      <w:r>
        <w:rPr>
          <w:sz w:val="20"/>
          <w:szCs w:val="20"/>
        </w:rPr>
        <w:t xml:space="preserve">    (16)</w:t>
      </w:r>
    </w:p>
    <w:p>
      <w:pPr>
        <w:spacing w:after="80" w:before="160"/>
      </w:pPr>
      <w:r>
        <w:rPr>
          <w:b/>
          <w:bCs/>
          <w:i/>
          <w:iCs/>
          <w:sz w:val="19"/>
          <w:szCs w:val="19"/>
        </w:rPr>
        <w:t xml:space="preserve">E. Cluster Validity Assessment</w:t>
      </w:r>
    </w:p>
    <w:p>
      <w:pPr>
        <w:spacing w:after="120"/>
        <w:jc w:val="both"/>
      </w:pPr>
      <w:r>
        <w:rPr>
          <w:sz w:val="20"/>
          <w:szCs w:val="20"/>
        </w:rPr>
        <w:t xml:space="preserve">The silhouette coefficient [7] and Davies-Bouldin index [8] were computed for the k=6 solution in two independent feature spaces -- the 2D UMAP embedding (n=495) and the original standardized five-indicator space (n=422 complete, non-singleton cells) -- to test whether cluster separation reflects genuine structure or is partly an artifact of the UMAP projection. A k-scan from k=2 to k=10 additionally refit K-Means on the same UMAP embedding at each k, recording the silhouette score.</w:t>
      </w:r>
    </w:p>
    <w:p>
      <w:pPr>
        <w:spacing w:after="80" w:before="160"/>
      </w:pPr>
      <w:r>
        <w:rPr>
          <w:b/>
          <w:bCs/>
          <w:i/>
          <w:iCs/>
          <w:sz w:val="19"/>
          <w:szCs w:val="19"/>
        </w:rPr>
        <w:t xml:space="preserve">F. Spatial Autocorrelation Validation</w:t>
      </w:r>
    </w:p>
    <w:p>
      <w:pPr>
        <w:spacing w:after="120"/>
        <w:jc w:val="both"/>
      </w:pPr>
      <w:r>
        <w:rPr>
          <w:sz w:val="20"/>
          <w:szCs w:val="20"/>
        </w:rPr>
        <w:t xml:space="preserve">Two distinct Moran's I analyses are reported and are kept explicitly separate because they were not built with the same spatial-weights definition. First, a Local Moran's I (LISA) map was produced in the original GIS workflow (Fig. 3) using k-nearest-neighbor weights (k=5) and a 999-permutation significance test, classifying each cell into High-High, Low-High, Low-Low, or High-Low quadrants at p&lt;0.05.</w:t>
      </w:r>
    </w:p>
    <w:p>
      <w:pPr>
        <w:spacing w:after="120"/>
        <w:jc w:val="both"/>
      </w:pPr>
      <w:r>
        <w:rPr>
          <w:sz w:val="20"/>
          <w:szCs w:val="20"/>
        </w:rPr>
        <w:t xml:space="preserve">Second, and separately, as an independent validation check for this study, we computed a global Moran's I on the composite UMI surface using an explicitly defined rook (4-neighbor edge) contiguity matrix built directly from the regular grid's row and column indices, row-standardized, with significance likewise assessed via a 999-permutation test. Because the two analyses use different neighbourhood definitions (k=5 nearest-neighbor for the original LISA map vs. rook contiguity for this validation check), their results are complementary evidence rather than a single computation reported twice. The general form of Moran's I is [12], and of the local statistic [3], [11]:</w:t>
      </w:r>
    </w:p>
    <w:p>
      <w:pPr>
        <w:spacing w:after="100" w:before="60"/>
        <w:jc w:val="center"/>
      </w:pPr>
      <m:oMath>
        <m:r>
          <m:t>I = </m:t>
        </m:r>
        <m:f>
          <m:num>
            <m:r>
              <m:t>n</m:t>
            </m:r>
          </m:num>
          <m:den>
            <m:r>
              <m:t>W</m:t>
            </m:r>
          </m:den>
        </m:f>
        <m:r>
          <m:t> · </m:t>
        </m:r>
        <m:f>
          <m:num>
            <m:nary>
              <m:naryPr>
                <m:chr m:val="∑"/>
                <m:limLoc m:val="undOvr"/>
                <m:supHide m:val="1"/>
              </m:naryPr>
              <m:sub>
                <m:r>
                  <m:t>i</m:t>
                </m:r>
              </m:sub>
              <m:e>
                <m:nary>
                  <m:naryPr>
                    <m:chr m:val="∑"/>
                    <m:limLoc m:val="undOvr"/>
                    <m:supHide m:val="1"/>
                  </m:naryPr>
                  <m:sub>
                    <m:r>
                      <m:t>j</m:t>
                    </m:r>
                  </m:sub>
                  <m:e>
                    <m:sSub>
                      <m:sSubPr/>
                      <m:e>
                        <m:r>
                          <m:t>w</m:t>
                        </m:r>
                      </m:e>
                      <m:sub>
                        <m:r>
                          <m:t>ij</m:t>
                        </m:r>
                      </m:sub>
                    </m:sSub>
                    <m:r>
                      <m:t>(</m:t>
                    </m:r>
                    <m:sSub>
                      <m:sSubPr/>
                      <m:e>
                        <m:r>
                          <m:t>x</m:t>
                        </m:r>
                      </m:e>
                      <m:sub>
                        <m:r>
                          <m:t>i</m:t>
                        </m:r>
                      </m:sub>
                    </m:sSub>
                    <m:r>
                      <m:t> − x̄)(</m:t>
                    </m:r>
                    <m:sSub>
                      <m:sSubPr/>
                      <m:e>
                        <m:r>
                          <m:t>x</m:t>
                        </m:r>
                      </m:e>
                      <m:sub>
                        <m:r>
                          <m:t>j</m:t>
                        </m:r>
                      </m:sub>
                    </m:sSub>
                    <m:r>
                      <m:t> − x̄)</m:t>
                    </m:r>
                  </m:e>
                </m:nary>
              </m:e>
            </m:nary>
          </m:num>
          <m:den>
            <m:nary>
              <m:naryPr>
                <m:chr m:val="∑"/>
                <m:limLoc m:val="undOvr"/>
                <m:supHide m:val="1"/>
              </m:naryPr>
              <m:sub>
                <m:r>
                  <m:t>i</m:t>
                </m:r>
              </m:sub>
              <m:e>
                <m:sSup>
                  <m:sSupPr/>
                  <m:e>
                    <m:r>
                      <m:t>(</m:t>
                    </m:r>
                    <m:sSub>
                      <m:sSubPr/>
                      <m:e>
                        <m:r>
                          <m:t>x</m:t>
                        </m:r>
                      </m:e>
                      <m:sub>
                        <m:r>
                          <m:t>i</m:t>
                        </m:r>
                      </m:sub>
                    </m:sSub>
                    <m:r>
                      <m:t> − x̄)</m:t>
                    </m:r>
                  </m:e>
                  <m:sup>
                    <m:r>
                      <m:t>2</m:t>
                    </m:r>
                  </m:sup>
                </m:sSup>
              </m:e>
            </m:nary>
          </m:den>
        </m:f>
        <m:r>
          <m:t> ,  W = </m:t>
        </m:r>
        <m:nary>
          <m:naryPr>
            <m:chr m:val="∑"/>
            <m:limLoc m:val="undOvr"/>
            <m:supHide m:val="1"/>
          </m:naryPr>
          <m:sub>
            <m:r>
              <m:t>i</m:t>
            </m:r>
          </m:sub>
          <m:e>
            <m:nary>
              <m:naryPr>
                <m:chr m:val="∑"/>
                <m:limLoc m:val="undOvr"/>
                <m:supHide m:val="1"/>
              </m:naryPr>
              <m:sub>
                <m:r>
                  <m:t>j</m:t>
                </m:r>
              </m:sub>
              <m:e>
                <m:sSub>
                  <m:sSubPr/>
                  <m:e>
                    <m:r>
                      <m:t>w</m:t>
                    </m:r>
                  </m:e>
                  <m:sub>
                    <m:r>
                      <m:t>ij</m:t>
                    </m:r>
                  </m:sub>
                </m:sSub>
              </m:e>
            </m:nary>
          </m:e>
        </m:nary>
      </m:oMath>
      <w:r>
        <w:rPr>
          <w:sz w:val="20"/>
          <w:szCs w:val="20"/>
        </w:rPr>
        <w:t xml:space="preserve">    (17)</w:t>
      </w:r>
    </w:p>
    <w:p>
      <w:pPr>
        <w:spacing w:after="100" w:before="60"/>
        <w:jc w:val="center"/>
      </w:pPr>
      <m:oMath>
        <m:sSub>
          <m:sSubPr/>
          <m:e>
            <m:r>
              <m:t>I</m:t>
            </m:r>
          </m:e>
          <m:sub>
            <m:r>
              <m:t>i</m:t>
            </m:r>
          </m:sub>
        </m:sSub>
        <m:r>
          <m:t> = </m:t>
        </m:r>
        <m:sSub>
          <m:sSubPr/>
          <m:e>
            <m:r>
              <m:t>z</m:t>
            </m:r>
          </m:e>
          <m:sub>
            <m:r>
              <m:t>i</m:t>
            </m:r>
          </m:sub>
        </m:sSub>
        <m:r>
          <m:t> </m:t>
        </m:r>
        <m:nary>
          <m:naryPr>
            <m:chr m:val="∑"/>
            <m:limLoc m:val="undOvr"/>
            <m:supHide m:val="1"/>
          </m:naryPr>
          <m:sub>
            <m:r>
              <m:t>j</m:t>
            </m:r>
          </m:sub>
          <m:e>
            <m:sSub>
              <m:sSubPr/>
              <m:e>
                <m:r>
                  <m:t>w</m:t>
                </m:r>
              </m:e>
              <m:sub>
                <m:r>
                  <m:t>ij</m:t>
                </m:r>
              </m:sub>
            </m:sSub>
            <m:r>
              <m:t> </m:t>
            </m:r>
            <m:sSub>
              <m:sSubPr/>
              <m:e>
                <m:r>
                  <m:t>z</m:t>
                </m:r>
              </m:e>
              <m:sub>
                <m:r>
                  <m:t>j</m:t>
                </m:r>
              </m:sub>
            </m:sSub>
          </m:e>
        </m:nary>
        <m:r>
          <m:t> ,  </m:t>
        </m:r>
        <m:sSub>
          <m:sSubPr/>
          <m:e>
            <m:r>
              <m:t>z</m:t>
            </m:r>
          </m:e>
          <m:sub>
            <m:r>
              <m:t>i</m:t>
            </m:r>
          </m:sub>
        </m:sSub>
        <m:r>
          <m:t> = </m:t>
        </m:r>
        <m:f>
          <m:num>
            <m:r>
              <m:t>(</m:t>
            </m:r>
            <m:sSub>
              <m:sSubPr/>
              <m:e>
                <m:r>
                  <m:t>x</m:t>
                </m:r>
              </m:e>
              <m:sub>
                <m:r>
                  <m:t>i</m:t>
                </m:r>
              </m:sub>
            </m:sSub>
            <m:r>
              <m:t> − x̄)</m:t>
            </m:r>
          </m:num>
          <m:den>
            <m:r>
              <m:t>s</m:t>
            </m:r>
          </m:den>
        </m:f>
      </m:oMath>
      <w:r>
        <w:rPr>
          <w:sz w:val="20"/>
          <w:szCs w:val="20"/>
        </w:rPr>
        <w:t xml:space="preserve">    (18)</w:t>
      </w:r>
    </w:p>
    <w:p>
      <w:pPr>
        <w:pBdr>
          <w:bottom w:val="single" w:color="0B0B0B" w:sz="4" w:space="2"/>
        </w:pBdr>
        <w:spacing w:after="100" w:before="220"/>
      </w:pPr>
      <w:r>
        <w:rPr>
          <w:b/>
          <w:bCs/>
          <w:sz w:val="21"/>
          <w:szCs w:val="21"/>
        </w:rPr>
        <w:t xml:space="preserve">IV. Results and Discussion</w:t>
      </w:r>
    </w:p>
    <w:p>
      <w:pPr>
        <w:spacing w:after="80" w:before="160"/>
      </w:pPr>
      <w:r>
        <w:rPr>
          <w:b/>
          <w:bCs/>
          <w:i/>
          <w:iCs/>
          <w:sz w:val="19"/>
          <w:szCs w:val="19"/>
        </w:rPr>
        <w:t xml:space="preserve">A. Urban Morphological Cluster Profiles</w:t>
      </w:r>
    </w:p>
    <w:p>
      <w:pPr>
        <w:spacing w:after="120"/>
        <w:jc w:val="both"/>
      </w:pPr>
      <w:r>
        <w:rPr>
          <w:sz w:val="20"/>
          <w:szCs w:val="20"/>
        </w:rPr>
        <w:t xml:space="preserve">The K-Means solution delineated six morphological signatures (Fig. 2, Fig. 4):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m²), maximum (6674.99 m²), and most variable (735.70 m² standard deviation) footprint sizes, consistent with large institutional, commercial, or mixed-use structures (Fig. 4).</w:t>
      </w:r>
    </w:p>
    <w:p>
      <w:pPr>
        <w:spacing w:after="80" w:before="160"/>
      </w:pPr>
      <w:r>
        <w:rPr>
          <w:b/>
          <w:bCs/>
          <w:i/>
          <w:iCs/>
          <w:sz w:val="19"/>
          <w:szCs w:val="19"/>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(Fig. 5a).</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consistent with the known tendency of UMAP to emphasize local neighbourhood structure over global distance preservation, which can numerically inflate apparent cluster separation. We report this openly as a limitation rather than presenting only the more favourable UMAP-space figure.</w:t>
      </w:r>
    </w:p>
    <w:p>
      <w:pPr>
        <w:spacing w:after="120"/>
        <w:jc w:val="both"/>
      </w:pPr>
      <w:r>
        <w:rPr>
          <w:sz w:val="20"/>
          <w:szCs w:val="20"/>
        </w:rPr>
        <w:t xml:space="preserve">The k-scan (Fig. 5b) further shows that k=6 is not the silhouette-maximizing solution: k=9 (0.598) and k=10 (0.592) both exceed k=6 (0.567), while k=2 scores highest (0.844) but corresponds to a coarse urban/non-urban split of limited interpretive value. Accordingly, k=6 is justified on typological interpretability and correspondence with established urban morphology classes, not on statistical optimality -- a distinction stated explicitly rather than left implicit.</w:t>
      </w:r>
    </w:p>
    <w:p>
      <w:pPr>
        <w:spacing w:after="80" w:before="160"/>
      </w:pPr>
      <w:r>
        <w:rPr>
          <w:b/>
          <w:bCs/>
          <w:i/>
          <w:iCs/>
          <w:sz w:val="19"/>
          <w:szCs w:val="19"/>
        </w:rPr>
        <w:t xml:space="preserve">C. Spatial Structure of the Morphological Signatures</w:t>
      </w:r>
    </w:p>
    <w:p>
      <w:pPr>
        <w:spacing w:after="120"/>
        <w:jc w:val="both"/>
      </w:pPr>
      <w:r>
        <w:rPr>
          <w:sz w:val="20"/>
          <w:szCs w:val="20"/>
        </w:rPr>
        <w:t xml:space="preserve">Global Moran's I on the UMI surface, independently computed for this validation with rook contiguity, was 0.4324 (Z=12.05, permutation-test p=0.001, n=999 permutations) (Fig. 5c) -- strong, highly significant positive spatial autocorrelation confirming that high- and low-intensity cells form contiguous spatial clusters rather than a random arrangement, the necessary precondition for interpreting the local LISA pattern in Fig. 3.</w:t>
      </w:r>
    </w:p>
    <w:p>
      <w:pPr>
        <w:spacing w:after="120"/>
        <w:jc w:val="both"/>
      </w:pPr>
      <w:r>
        <w:rPr>
          <w:sz w:val="20"/>
          <w:szCs w:val="20"/>
        </w:rPr>
        <w:t xml:space="preserve">The original LISA analysis identified, among 423 tested cells, 71 cells forming a significant (p&lt;0.05) High-High cluster (mean UMI=0.462) concentrated in the historic urban core, and 58 cells forming a significant Low-Low cluster (mean UMI=0.208) at the periphery, with 4 Low-High outliers (Fig. 3). Of 133 nominally significant cells, 61 remained significant after FDR correction, indicating the central High-High core is statistically robust while some peripheral significance reflects multiple testing.</w:t>
      </w:r>
    </w:p>
    <w:p>
      <w:pPr>
        <w:spacing w:after="120"/>
        <w:jc w:val="both"/>
      </w:pPr>
      <w:r>
        <w:rPr>
          <w:sz w:val="20"/>
          <w:szCs w:val="20"/>
        </w:rPr>
        <w:t xml:space="preserve">As independent corroboration linking the two analyses, 45 of the 72 grid cells assigned to the K-Means Urban Core cluster (62.5%) also fell within the significant LISA High-High cluster. This spatial correspondence between an attribute-space clustering (UMAP/K-Means) and a geography-based clustering (LISA), from entirely different statistical procedures, supports the interpretation that the Urban Core signature reflects genuine, non-random concentration of built form.</w:t>
      </w:r>
    </w:p>
    <w:p>
      <w:pPr>
        <w:spacing w:after="80" w:before="160"/>
      </w:pPr>
      <w:r>
        <w:rPr>
          <w:b/>
          <w:bCs/>
          <w:i/>
          <w:iCs/>
          <w:sz w:val="19"/>
          <w:szCs w:val="19"/>
        </w:rPr>
        <w:t xml:space="preserve">D. Limitations</w:t>
      </w:r>
    </w:p>
    <w:p>
      <w:pPr>
        <w:spacing w:after="120"/>
        <w:jc w:val="both"/>
      </w:pPr>
      <w:r>
        <w:rPr>
          <w:sz w:val="20"/>
          <w:szCs w:val="20"/>
        </w:rPr>
        <w:t xml:space="preserve">This analysis is cross-sectional and does not capture temporal morphological change. The 1 km grid risks an ecological-fallacy effect in which within-cell heterogeneity is averaged out. The k=6 solution was justified on interpretability rather than statistical optimality (Section IV-B). The UMI_w weighting (Eq. 13) remains an empirically recovered fit rather than a value confirmed from the original processing script, and the precise OBF data provenance (source, version, imagery vintage, access date; Section III-A) is still unconfirmed and required for the Data Availability statement. Cluster labels have not yet been validated against independent ground-truth imagery or socioeconomic data.</w:t>
      </w:r>
    </w:p>
    <w:p>
      <w:pPr>
        <w:pBdr>
          <w:bottom w:val="single" w:color="0B0B0B" w:sz="4" w:space="2"/>
        </w:pBdr>
        <w:spacing w:after="100" w:before="220"/>
      </w:pPr>
      <w:r>
        <w:rPr>
          <w:b/>
          <w:bCs/>
          <w:sz w:val="21"/>
          <w:szCs w:val="21"/>
        </w:rPr>
        <w:t xml:space="preserve">V. Conclusion</w:t>
      </w:r>
    </w:p>
    <w:p>
      <w:pPr>
        <w:spacing w:after="120"/>
        <w:jc w:val="both"/>
      </w:pPr>
      <w:r>
        <w:rPr>
          <w:sz w:val="20"/>
          <w:szCs w:val="20"/>
        </w:rPr>
        <w:t xml:space="preserve">This study developed and independently validated a machine-learning framework for grid-based urban morphological signature mapping in Bhopal, India, using Open Building Footprints and World Settlement Footprint data, with every derived field-level formula traced against the project's own attribute tables. Six morphological signatures were derived via UMAP and K-Means, and their validity was assessed using cluster-internal indices in two feature spaces and spatial-autocorrelation testing via global and local Moran's I under an explicit contiguity definition. We report both favourable results (global Moran's I=0.43, p=0.001; 62.5% spatial overlap between the Urban Core cluster and the LISA High-High hotspot) and unfavourable ones (weaker raw-space silhouette; k=6 not silhouette-optimal) transparently. This validated-and-caveated approach offers a replicable, low-cost method for morphology-based urban monitoring applicable to other data-scarce Indian cities, provided the confirmations flagged in Section IV-D are resolved in subsequent work.</w:t>
      </w:r>
    </w:p>
    <w:p>
      <w:pPr>
        <w:pBdr>
          <w:bottom w:val="single" w:color="0B0B0B" w:sz="4" w:space="2"/>
        </w:pBdr>
        <w:spacing w:after="100" w:before="220"/>
      </w:pPr>
      <w:r>
        <w:rPr>
          <w:b/>
          <w:bCs/>
          <w:sz w:val="21"/>
          <w:szCs w:val="21"/>
        </w:rPr>
        <w:t xml:space="preserve">Acknowledgment</w:t>
      </w:r>
    </w:p>
    <w:p>
      <w:pPr>
        <w:spacing w:after="120"/>
        <w:jc w:val="both"/>
      </w:pPr>
      <w:r>
        <w:rPr>
          <w:sz w:val="20"/>
          <w:szCs w:val="20"/>
        </w:rPr>
        <w:t xml:space="preserve">The authors would like to thank the Commissioner of the Bhopal Municipal Corporation (BMC) and the Planning and Development Department of the concerned Madhya Pradesh urban development authority for providing the study area datasets, and also thank the GIS Lab of the Department of Geography, Faculty of Earth Science, IGNTU, India. The authors also thank the USGS and the Survey of India (SOI) for their freely available satellite images and datasets. The authors would also like to express sincere gratitude to the entire editorial board and reviewers for their insightful comments and suggestions, which have significantly improved the manuscript.</w:t>
      </w:r>
    </w:p>
    <w:p>
      <w:pPr>
        <w:spacing w:after="120"/>
      </w:pPr>
      <w:r>
        <w:rPr>
          <w:i/>
          <w:iCs/>
          <w:color w:val="C00000"/>
          <w:sz w:val="20"/>
          <w:szCs w:val="20"/>
        </w:rPr>
        <w:t xml:space="preserve">[AUTHOR TO CONFIRM: confirm the exact Bhopal-side institution names/titles above (e.g., the specific MP urban development authority you actually obtained data from) before submission]</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6200000" cy="390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00000" cy="3902900"/>
                    </a:xfrm>
                    <a:prstGeom prst="rect">
                      <a:avLst/>
                    </a:prstGeom>
                  </pic:spPr>
                </pic:pic>
              </a:graphicData>
            </a:graphic>
          </wp:inline>
        </w:drawing>
      </w:r>
    </w:p>
    <w:p>
      <w:pPr>
        <w:spacing w:after="200" w:before="80"/>
        <w:jc w:val="center"/>
      </w:pPr>
      <w:r>
        <w:rPr>
          <w:i/>
          <w:iCs/>
          <w:sz w:val="18"/>
          <w:szCs w:val="18"/>
        </w:rPr>
        <w:t xml:space="preserve">Fig. 1. (a) 1 km analytical grid, (b) World Settlement Footprint (WSF) mask, and (c) Open Building Footprints (OBF), all clipped to the Bhopal Municipal Corporation boundary (UTM Zone 43N).</w:t>
      </w:r>
    </w:p>
    <w:p>
      <w:pPr>
        <w:spacing w:before="120"/>
        <w:jc w:val="center"/>
      </w:pPr>
      <w:r>
        <w:drawing>
          <wp:inline distT="0" distB="0" distL="0" distR="0">
            <wp:extent cx="6200000" cy="30292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00000" cy="3029244"/>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spacing w:before="120"/>
        <w:jc w:val="center"/>
      </w:pPr>
      <w:r>
        <w:drawing>
          <wp:inline distT="0" distB="0" distL="0" distR="0">
            <wp:extent cx="6200000" cy="438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00000" cy="4383400"/>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 (spatial-weights definition per Section III-F).</w:t>
      </w:r>
    </w:p>
    <w:p>
      <w:pPr>
        <w:spacing w:before="120"/>
        <w:jc w:val="center"/>
      </w:pPr>
      <w:r>
        <w:drawing>
          <wp:inline distT="0" distB="0" distL="0" distR="0">
            <wp:extent cx="6200000" cy="36504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00000" cy="3650414"/>
                    </a:xfrm>
                    <a:prstGeom prst="rect">
                      <a:avLst/>
                    </a:prstGeom>
                  </pic:spPr>
                </pic:pic>
              </a:graphicData>
            </a:graphic>
          </wp:inline>
        </w:drawing>
      </w:r>
    </w:p>
    <w:p>
      <w:pPr>
        <w:spacing w:after="200" w:before="80"/>
        <w:jc w:val="center"/>
      </w:pPr>
      <w:r>
        <w:rPr>
          <w:i/>
          <w:iCs/>
          <w:sz w:val="18"/>
          <w:szCs w:val="18"/>
        </w:rPr>
        <w:t xml:space="preserve">Fig. 4. Cluster profile dashboard: (a) mean building count, (b) mean built-up density, (c) grid cells per cluster, (d) mean footprint area, (e) maximum footprint area, (f) standard deviation of footprint area, by cluster.</w:t>
      </w:r>
    </w:p>
    <w:p>
      <w:pPr>
        <w:spacing w:before="120"/>
        <w:jc w:val="center"/>
      </w:pPr>
      <w:r>
        <w:drawing>
          <wp:inline distT="0" distB="0" distL="0" distR="0">
            <wp:extent cx="6200000" cy="22773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00000" cy="2277338"/>
                    </a:xfrm>
                    <a:prstGeom prst="rect">
                      <a:avLst/>
                    </a:prstGeom>
                  </pic:spPr>
                </pic:pic>
              </a:graphicData>
            </a:graphic>
          </wp:inline>
        </w:drawing>
      </w:r>
    </w:p>
    <w:p>
      <w:pPr>
        <w:spacing w:after="200" w:before="80"/>
        <w:jc w:val="center"/>
      </w:pPr>
      <w:r>
        <w:rPr>
          <w:i/>
          <w:iCs/>
          <w:sz w:val="18"/>
          <w:szCs w:val="18"/>
        </w:rPr>
        <w:t xml:space="preserve">Fig. 5. Validation dashboard: (a) silhouette score by cluster in UMAP space, (b) silhouette score across k=2..10, (c) global Moran's I permutation test (observed vs. null distribution).</w:t>
      </w:r>
    </w:p>
    <w:p>
      <w:pPr>
        <w:sectPr>
          <w:type w:val="continuous"/>
          <w:pgSz w:w="12240" w:h="15840" w:orient="portrait"/>
          <w:pgMar w:top="1440" w:right="1080" w:bottom="1440" w:left="1080" w:header="708" w:footer="708" w:gutter="0"/>
          <w:pgNumType/>
          <w:cols w:num="1"/>
          <w:docGrid w:linePitch="360"/>
        </w:sectPr>
      </w:pPr>
    </w:p>
    <w:p>
      <w:pPr>
        <w:pBdr>
          <w:bottom w:val="single" w:color="0B0B0B" w:sz="4" w:space="2"/>
        </w:pBdr>
        <w:spacing w:after="100" w:before="220"/>
      </w:pPr>
      <w:r>
        <w:rPr>
          <w:b/>
          <w:bCs/>
          <w:sz w:val="21"/>
          <w:szCs w:val="21"/>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 doi: 10.1177/2399808320921208.</w:t>
      </w:r>
    </w:p>
    <w:p>
      <w:pPr>
        <w:spacing w:after="80"/>
        <w:ind w:left="200" w:hanging="200"/>
      </w:pPr>
      <w:r>
        <w:rPr>
          <w:sz w:val="18"/>
          <w:szCs w:val="18"/>
        </w:rPr>
        <w:t xml:space="preserve">[2] L. McInnes, J. Healy, and J. Melville, "UMAP: Uniform Manifold Approximation and Projection for Dimension Reduction," arXiv:1802.03426, 2018, doi: 10.48550/arXiv.1802.03426.</w:t>
      </w:r>
    </w:p>
    <w:p>
      <w:pPr>
        <w:spacing w:after="80"/>
        <w:ind w:left="200" w:hanging="200"/>
      </w:pPr>
      <w:r>
        <w:rPr>
          <w:sz w:val="18"/>
          <w:szCs w:val="18"/>
        </w:rPr>
        <w:t xml:space="preserve">[3] L. Anselin, "Local Indicators of Spatial Association-LISA," Geogr. Anal., vol. 27, no. 2, pp. 93-115, 1995, doi: 10.1111/j.1538-4632.1995.tb00338.x.</w:t>
      </w:r>
    </w:p>
    <w:p>
      <w:pPr>
        <w:spacing w:after="80"/>
        <w:ind w:left="200" w:hanging="200"/>
      </w:pPr>
      <w:r>
        <w:rPr>
          <w:sz w:val="18"/>
          <w:szCs w:val="18"/>
        </w:rPr>
        <w:t xml:space="preserve">[4] M. Marconcini et al., "Outlining where humans live: the World Settlement Footprint 2015," Sci. Data, vol. 7, art. 242, 2020, doi: 10.1038/s41597-020-00580-5.</w:t>
      </w:r>
    </w:p>
    <w:p>
      <w:pPr>
        <w:spacing w:after="80"/>
        <w:ind w:left="200" w:hanging="200"/>
      </w:pPr>
      <w:r>
        <w:rPr>
          <w:sz w:val="18"/>
          <w:szCs w:val="18"/>
        </w:rPr>
        <w:t xml:space="preserve">[5] J. MacQueen, "Some methods for classification and analysis of multivariate observations," in Proc. 5th Berkeley Symp. Math. Stat. Probab., vol. 1, pp. 281-297, 1967. (No DOI -- pre-DOI-era conference proceedings.)</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P. J. Rousseeuw, "Silhouettes: A graphical aid to the interpretation and validation of cluster analysis," J. Comput. Appl. Math., vol. 20, pp. 53-65, 1987, doi: 10.1016/0377-0427(87)90125-7.</w:t>
      </w:r>
    </w:p>
    <w:p>
      <w:pPr>
        <w:spacing w:after="80"/>
        <w:ind w:left="200" w:hanging="200"/>
      </w:pPr>
      <w:r>
        <w:rPr>
          <w:sz w:val="18"/>
          <w:szCs w:val="18"/>
        </w:rPr>
        <w:t xml:space="preserve">[8] D. L. Davies and D. W. Bouldin, "A Cluster Separation Measure," IEEE Trans. Pattern Anal. Mach. Intell., vol. PAMI-1, no. 2, pp. 224-227, 1979, doi: 10.1109/TPAMI.1979.4766909.</w:t>
      </w:r>
    </w:p>
    <w:p>
      <w:pPr>
        <w:spacing w:after="80"/>
        <w:ind w:left="200" w:hanging="200"/>
      </w:pPr>
      <w:r>
        <w:rPr>
          <w:sz w:val="18"/>
          <w:szCs w:val="18"/>
        </w:rPr>
        <w:t xml:space="preserve">[9] W. Sirko et al., "Continental-Scale Building Detection from High Resolution Satellite Imagery," arXiv:2107.12283, 2021, doi: 10.48550/arXiv.2107.12283.</w:t>
      </w:r>
    </w:p>
    <w:p>
      <w:pPr>
        <w:spacing w:after="80"/>
        <w:ind w:left="200" w:hanging="200"/>
      </w:pPr>
      <w:r>
        <w:rPr>
          <w:sz w:val="18"/>
          <w:szCs w:val="18"/>
        </w:rPr>
        <w:t xml:space="preserve">[10] National Commission on Population, Ministry of Health and Family Welfare, Government of India, "Population Projections for India and States 2011-2036," Report of the Technical Group on Population Projections, 2020. (No DOI -- government report.)</w:t>
      </w:r>
    </w:p>
    <w:p>
      <w:pPr>
        <w:spacing w:after="80"/>
        <w:ind w:left="200" w:hanging="200"/>
      </w:pPr>
      <w:r>
        <w:rPr>
          <w:sz w:val="18"/>
          <w:szCs w:val="18"/>
        </w:rPr>
        <w:t xml:space="preserve">[11] A. Getis and J. K. Ord, "The Analysis of Spatial Association by Use of Distance Statistics," Geogr. Anal., vol. 24, no. 3, pp. 189-206, 1992, doi: 10.1111/j.1538-4632.1992.tb00261.x.</w:t>
      </w:r>
    </w:p>
    <w:p>
      <w:pPr>
        <w:spacing w:after="80"/>
        <w:ind w:left="200" w:hanging="200"/>
      </w:pPr>
      <w:r>
        <w:rPr>
          <w:sz w:val="18"/>
          <w:szCs w:val="18"/>
        </w:rPr>
        <w:t xml:space="preserve">[12] P. A. P. Moran, "Notes on Continuous Stochastic Phenomena," Biometrika, vol. 37, no. 1/2, pp. 17-23, 1950, doi: 10.1093/biomet/37.1-2.17.</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7dd60d322916d068af02852f810c28d6792c38.png"/><Relationship Id="rId8" Type="http://schemas.openxmlformats.org/officeDocument/2006/relationships/image" Target="media/ac4fcaea1c0e8066272837fc7f9622574c2fcf99.png"/><Relationship Id="rId9" Type="http://schemas.openxmlformats.org/officeDocument/2006/relationships/image" Target="media/056f49fa5c430ea0646f7e836302c140888b5c6a.png"/><Relationship Id="rId10" Type="http://schemas.openxmlformats.org/officeDocument/2006/relationships/image" Target="media/1204c7584af602247743153ed2402198d2081ae1.png"/><Relationship Id="rId11" Type="http://schemas.openxmlformats.org/officeDocument/2006/relationships/image" Target="media/b073a67cb67dfb9b98dec2499070b2d032a3b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2026-09-24T11:21:15.084Z</dcterms:created>
  <dcterms:modified xsi:type="dcterms:W3CDTF">2026-09-24T11:21:15.084Z</dcterms:modified>
</cp:coreProperties>
</file>

<file path=docProps/custom.xml><?xml version="1.0" encoding="utf-8"?>
<Properties xmlns="http://schemas.openxmlformats.org/officeDocument/2006/custom-properties" xmlns:vt="http://schemas.openxmlformats.org/officeDocument/2006/docPropsVTypes"/>
</file>