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m:oMath>
        <m:sSub>
          <m:sSubPr/>
          <m:e>
            <m:r>
              <m:t>A</m:t>
            </m:r>
          </m:e>
          <m:sub>
            <m:r>
              <m:t>grid</m:t>
            </m:r>
          </m:sub>
        </m:sSub>
        <m:r>
          <m:t> = 1 km × 1 km = 1,000,000 </m:t>
        </m:r>
        <m:sSup>
          <m:sSupPr/>
          <m:e>
            <m:r>
              <m:t>m</m:t>
            </m:r>
          </m:e>
          <m:sup>
            <m:r>
              <m:t>2</m:t>
            </m:r>
          </m:sup>
        </m:sSup>
      </m:oMath>
      <w:r>
        <w:rPr>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m:oMath>
        <m:sSub>
          <m:sSubPr/>
          <m:e>
            <m:r>
              <m:t>BC</m:t>
            </m:r>
          </m:e>
          <m:sub>
            <m:r>
              <m:t>i</m:t>
            </m:r>
          </m:sub>
        </m:sSub>
        <m:r>
          <m:t> = </m:t>
        </m:r>
        <m:sSub>
          <m:sSubPr/>
          <m:e>
            <m:r>
              <m:t>N</m:t>
            </m:r>
          </m:e>
          <m:sub>
            <m:r>
              <m:t>i</m:t>
            </m:r>
          </m:sub>
        </m:sSub>
      </m:oMath>
      <w:r>
        <w:rPr>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m:oMath>
        <m:sSub>
          <m:sSubPr/>
          <m:e>
            <m:r>
              <m:t>BA</m:t>
            </m:r>
          </m:e>
          <m:sub>
            <m:r>
              <m:t>i</m:t>
            </m:r>
          </m:sub>
        </m:sSub>
        <m:r>
          <m:t> = </m:t>
        </m:r>
        <m:nary>
          <m:naryPr>
            <m:chr m:val="∑"/>
            <m:limLoc m:val="undOvr"/>
            <m:supHide m:val="1"/>
          </m:naryPr>
          <m:sub>
            <m:r>
              <m:t>j</m:t>
            </m:r>
          </m:sub>
          <m:e>
            <m:sSub>
              <m:sSubPr/>
              <m:e>
                <m:r>
                  <m:t>A</m:t>
                </m:r>
              </m:e>
              <m:sub>
                <m:r>
                  <m:t>ij</m:t>
                </m:r>
              </m:sub>
            </m:sSub>
          </m:e>
        </m:nary>
      </m:oMath>
      <w:r>
        <w:rPr>
          <w:sz w:val="20"/>
          <w:szCs w:val="20"/>
        </w:rPr>
        <w:t xml:space="preserve">    (3)</w:t>
      </w:r>
    </w:p>
    <w:p>
      <w:pPr>
        <w:spacing w:after="100" w:before="60"/>
        <w:jc w:val="center"/>
      </w:pPr>
      <m:oMath>
        <m:sSub>
          <m:sSubPr/>
          <m:e>
            <m:r>
              <m:t>Ā</m:t>
            </m:r>
          </m:e>
          <m:sub>
            <m:r>
              <m:t>i</m:t>
            </m:r>
          </m:sub>
        </m:sSub>
        <m:r>
          <m:t> = </m:t>
        </m:r>
        <m:f>
          <m:num>
            <m:sSub>
              <m:sSubPr/>
              <m:e>
                <m:r>
                  <m:t>BA</m:t>
                </m:r>
              </m:e>
              <m:sub>
                <m:r>
                  <m:t>i</m:t>
                </m:r>
              </m:sub>
            </m:sSub>
          </m:num>
          <m:den>
            <m:sSub>
              <m:sSubPr/>
              <m:e>
                <m:r>
                  <m:t>N</m:t>
                </m:r>
              </m:e>
              <m:sub>
                <m:r>
                  <m:t>i</m:t>
                </m:r>
              </m:sub>
            </m:sSub>
          </m:den>
        </m:f>
      </m:oMath>
      <w:r>
        <w:rPr>
          <w:sz w:val="20"/>
          <w:szCs w:val="20"/>
        </w:rPr>
        <w:t xml:space="preserve">    (4)</w:t>
      </w:r>
    </w:p>
    <w:p>
      <w:pPr>
        <w:spacing w:after="120"/>
        <w:jc w:val="both"/>
      </w:pPr>
      <w:r>
        <w:rPr>
          <w:sz w:val="20"/>
          <w:szCs w:val="20"/>
        </w:rPr>
        <w:t xml:space="preserve">where A_ij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m:oMath>
        <m:sSub>
          <m:sSubPr/>
          <m:e>
            <m:r>
              <m:t>A</m:t>
            </m:r>
            <m:r>
              <m:t>max</m:t>
            </m:r>
          </m:e>
          <m:sub>
            <m:r>
              <m:t>i</m:t>
            </m:r>
          </m:sub>
        </m:sSub>
        <m:r>
          <m:t> = max(</m:t>
        </m:r>
        <m:sSub>
          <m:sSubPr/>
          <m:e>
            <m:r>
              <m:t>A</m:t>
            </m:r>
          </m:e>
          <m:sub>
            <m:r>
              <m:t>i1</m:t>
            </m:r>
          </m:sub>
        </m:sSub>
        <m:r>
          <m:t>, </m:t>
        </m:r>
        <m:sSub>
          <m:sSubPr/>
          <m:e>
            <m:r>
              <m:t>A</m:t>
            </m:r>
          </m:e>
          <m:sub>
            <m:r>
              <m:t>i2</m:t>
            </m:r>
          </m:sub>
        </m:sSub>
        <m:r>
          <m:t>, …, </m:t>
        </m:r>
        <m:sSub>
          <m:sSubPr/>
          <m:e>
            <m:r>
              <m:t>A</m:t>
            </m:r>
          </m:e>
          <m:sub>
            <m:r>
              <m:t>iN</m:t>
            </m:r>
          </m:sub>
        </m:sSub>
        <m:r>
          <m:t>)</m:t>
        </m:r>
      </m:oMath>
      <w:r>
        <w:rPr>
          <w:sz w:val="20"/>
          <w:szCs w:val="20"/>
        </w:rPr>
        <w:t xml:space="preserve">    (5)</w:t>
      </w:r>
    </w:p>
    <w:p>
      <w:pPr>
        <w:spacing w:after="120"/>
        <w:jc w:val="both"/>
      </w:pPr>
      <w:r>
        <w:rPr>
          <w:sz w:val="20"/>
          <w:szCs w:val="20"/>
        </w:rPr>
        <w:t xml:space="preserve">5) Standard deviation of footprint area within a cell:</w:t>
      </w:r>
    </w:p>
    <w:p>
      <w:pPr>
        <w:spacing w:after="100" w:before="60"/>
        <w:jc w:val="center"/>
      </w:pPr>
      <m:oMath>
        <m:sSub>
          <m:sSubPr/>
          <m:e>
            <m:r>
              <m:t>SD</m:t>
            </m:r>
          </m:e>
          <m:sub>
            <m:r>
              <m:t>i</m:t>
            </m:r>
          </m:sub>
        </m:sSub>
        <m:r>
          <m:t> = </m:t>
        </m:r>
        <m:rad>
          <m:radPr>
            <m:degHide m:val="1"/>
          </m:radPr>
          <m:deg/>
          <m:e>
            <m:f>
              <m:num>
                <m:nary>
                  <m:naryPr>
                    <m:chr m:val="∑"/>
                    <m:limLoc m:val="undOvr"/>
                    <m:supHide m:val="1"/>
                  </m:naryPr>
                  <m:sub>
                    <m:r>
                      <m:t>j</m:t>
                    </m:r>
                  </m:sub>
                  <m:e>
                    <m:sSup>
                      <m:sSupPr/>
                      <m:e>
                        <m:r>
                          <m:t>(</m:t>
                        </m:r>
                        <m:sSub>
                          <m:sSubPr/>
                          <m:e>
                            <m:r>
                              <m:t>A</m:t>
                            </m:r>
                          </m:e>
                          <m:sub>
                            <m:r>
                              <m:t>ij</m:t>
                            </m:r>
                          </m:sub>
                        </m:sSub>
                        <m:r>
                          <m:t> − </m:t>
                        </m:r>
                        <m:sSub>
                          <m:sSubPr/>
                          <m:e>
                            <m:r>
                              <m:t>Ā</m:t>
                            </m:r>
                          </m:e>
                          <m:sub>
                            <m:r>
                              <m:t>i</m:t>
                            </m:r>
                          </m:sub>
                        </m:sSub>
                        <m:r>
                          <m:t>)</m:t>
                        </m:r>
                      </m:e>
                      <m:sup>
                        <m:r>
                          <m:t>2</m:t>
                        </m:r>
                      </m:sup>
                    </m:sSup>
                  </m:e>
                </m:nary>
              </m:num>
              <m:den>
                <m:r>
                  <m:t>(</m:t>
                </m:r>
                <m:sSub>
                  <m:sSubPr/>
                  <m:e>
                    <m:r>
                      <m:t>N</m:t>
                    </m:r>
                  </m:e>
                  <m:sub>
                    <m:r>
                      <m:t>i</m:t>
                    </m:r>
                  </m:sub>
                </m:sSub>
                <m:r>
                  <m:t> − 1)</m:t>
                </m:r>
              </m:den>
            </m:f>
          </m:e>
        </m:rad>
      </m:oMath>
      <w:r>
        <w:rPr>
          <w:sz w:val="20"/>
          <w:szCs w:val="20"/>
        </w:rPr>
        <w:t xml:space="preserve">    (6)</w:t>
      </w:r>
    </w:p>
    <w:p>
      <w:pPr>
        <w:spacing w:after="120"/>
        <w:jc w:val="both"/>
      </w:pPr>
      <w:r>
        <w:rPr>
          <w:sz w:val="20"/>
          <w:szCs w:val="20"/>
        </w:rPr>
        <w:t xml:space="preserve">6) Built-up density, the ratio of summed footprint area to cell area (×100 for percent):</w:t>
      </w:r>
    </w:p>
    <w:p>
      <w:pPr>
        <w:spacing w:after="100" w:before="60"/>
        <w:jc w:val="center"/>
      </w:pPr>
      <m:oMath>
        <m:sSub>
          <m:sSubPr/>
          <m:e>
            <m:r>
              <m:t>D</m:t>
            </m:r>
          </m:e>
          <m:sub>
            <m:r>
              <m:t>i</m:t>
            </m:r>
          </m:sub>
        </m:sSub>
        <m:r>
          <m:t> = </m:t>
        </m:r>
        <m:f>
          <m:num>
            <m:sSub>
              <m:sSubPr/>
              <m:e>
                <m:r>
                  <m:t>BA</m:t>
                </m:r>
              </m:e>
              <m:sub>
                <m:r>
                  <m:t>i</m:t>
                </m:r>
              </m:sub>
            </m:sSub>
          </m:num>
          <m:den>
            <m:sSub>
              <m:sSubPr/>
              <m:e>
                <m:r>
                  <m:t>A</m:t>
                </m:r>
                <m:r>
                  <m:t>grid</m:t>
                </m:r>
              </m:e>
              <m:sub>
                <m:r>
                  <m:t>i</m:t>
                </m:r>
              </m:sub>
            </m:sSub>
          </m:den>
        </m:f>
      </m:oMath>
      <w:r>
        <w:rPr>
          <w:sz w:val="20"/>
          <w:szCs w:val="20"/>
        </w:rPr>
        <w:t xml:space="preserve">    (7)</w:t>
      </w:r>
    </w:p>
    <w:p>
      <w:pPr>
        <w:spacing w:after="120"/>
        <w:jc w:val="both"/>
      </w:pPr>
      <w:r>
        <w:rPr>
          <w:sz w:val="20"/>
          <w:szCs w:val="20"/>
        </w:rPr>
        <w:t xml:space="preserve">7) OBF percentage and its normalized form. OBF% is read directly from the grid attribute field obf_pct; obf_n was verified, across all 495 grid cells, to be a max-normalization of obf_pct rather than a simple percent-to-fraction conversion (max abs. residual 0.0005 against max-normalization vs. 0.47 against the percent/100 form, ruling the latter out):</w:t>
      </w:r>
    </w:p>
    <w:p>
      <w:pPr>
        <w:spacing w:after="100" w:before="60"/>
        <w:jc w:val="center"/>
      </w:pPr>
      <m:oMath>
        <m:sSub>
          <m:sSubPr/>
          <m:e>
            <m:r>
              <m:t>OBF%</m:t>
            </m:r>
          </m:e>
          <m:sub>
            <m:r>
              <m:t>i</m:t>
            </m:r>
          </m:sub>
        </m:sSub>
        <m:r>
          <m:t> = </m:t>
        </m:r>
        <m:f>
          <m:num>
            <m:sSub>
              <m:sSubPr/>
              <m:e>
                <m:r>
                  <m:t>A</m:t>
                </m:r>
                <m:r>
                  <m:t>OBF</m:t>
                </m:r>
              </m:e>
              <m:sub>
                <m:r>
                  <m:t>i</m:t>
                </m:r>
              </m:sub>
            </m:sSub>
          </m:num>
          <m:den>
            <m:sSub>
              <m:sSubPr/>
              <m:e>
                <m:r>
                  <m:t>A</m:t>
                </m:r>
                <m:r>
                  <m:t>grid</m:t>
                </m:r>
              </m:e>
              <m:sub>
                <m:r>
                  <m:t>i</m:t>
                </m:r>
              </m:sub>
            </m:sSub>
          </m:den>
        </m:f>
        <m:r>
          <m:t> × 100</m:t>
        </m:r>
      </m:oMath>
      <w:r>
        <w:rPr>
          <w:sz w:val="20"/>
          <w:szCs w:val="20"/>
        </w:rPr>
        <w:t xml:space="preserve">    (8)</w:t>
      </w:r>
    </w:p>
    <w:p>
      <w:pPr>
        <w:spacing w:after="100" w:before="60"/>
        <w:jc w:val="center"/>
      </w:pPr>
      <m:oMath>
        <m:sSub>
          <m:sSubPr/>
          <m:e>
            <m:r>
              <m:t>OBF</m:t>
            </m:r>
          </m:e>
          <m:sub>
            <m:r>
              <m:t>n,i</m:t>
            </m:r>
          </m:sub>
        </m:sSub>
        <m:r>
          <m:t> = </m:t>
        </m:r>
        <m:f>
          <m:num>
            <m:sSub>
              <m:sSubPr/>
              <m:e>
                <m:r>
                  <m:t>OBF%</m:t>
                </m:r>
              </m:e>
              <m:sub>
                <m:r>
                  <m:t>i</m:t>
                </m:r>
              </m:sub>
            </m:sSub>
          </m:num>
          <m:den>
            <m:r>
              <m:t>max(OBF%)</m:t>
            </m:r>
          </m:den>
        </m:f>
      </m:oMath>
      <w:r>
        <w:rPr>
          <w:sz w:val="20"/>
          <w:szCs w:val="20"/>
        </w:rPr>
        <w:t xml:space="preserve">    (9)</w:t>
      </w:r>
    </w:p>
    <w:p>
      <w:pPr>
        <w:spacing w:after="120"/>
        <w:jc w:val="both"/>
      </w:pPr>
      <w:r>
        <w:rPr>
          <w:sz w:val="20"/>
          <w:szCs w:val="20"/>
        </w:rPr>
        <w:t xml:space="preserve">with max(OBF%) = 53.151 (the dataset maximum, at grid cell id 671).</w:t>
      </w:r>
    </w:p>
    <w:p>
      <w:pPr>
        <w:spacing w:after="120"/>
        <w:jc w:val="both"/>
      </w:pPr>
      <w:r>
        <w:rPr>
          <w:sz w:val="20"/>
          <w:szCs w:val="20"/>
        </w:rPr>
        <w:t xml:space="preserve">8) Building-count normalization (bld_n), likewise verified as a max-normalization of the raw building count (fid_count) across all 423 populated cells (max abs. residual 0.0005):</w:t>
      </w:r>
    </w:p>
    <w:p>
      <w:pPr>
        <w:spacing w:after="100" w:before="60"/>
        <w:jc w:val="center"/>
      </w:pPr>
      <m:oMath>
        <m:sSub>
          <m:sSubPr/>
          <m:e>
            <m:r>
              <m:t>bld</m:t>
            </m:r>
          </m:e>
          <m:sub>
            <m:r>
              <m:t>n,i</m:t>
            </m:r>
          </m:sub>
        </m:sSub>
        <m:r>
          <m:t> = </m:t>
        </m:r>
        <m:f>
          <m:num>
            <m:sSub>
              <m:sSubPr/>
              <m:e>
                <m:r>
                  <m:t>fid_count</m:t>
                </m:r>
              </m:e>
              <m:sub>
                <m:r>
                  <m:t>i</m:t>
                </m:r>
              </m:sub>
            </m:sSub>
          </m:num>
          <m:den>
            <m:r>
              <m:t>max(fid_count)</m:t>
            </m:r>
          </m:den>
        </m:f>
        <m:r>
          <m:t> ,   max(fid_count) = 1771</m:t>
        </m:r>
      </m:oMath>
      <w:r>
        <w:rPr>
          <w:sz w:val="20"/>
          <w:szCs w:val="20"/>
        </w:rPr>
        <w:t xml:space="preserve">    (10)</w:t>
      </w:r>
    </w:p>
    <w:p>
      <w:pPr>
        <w:spacing w:after="120"/>
        <w:jc w:val="both"/>
      </w:pPr>
      <w:r>
        <w:rPr>
          <w:sz w:val="20"/>
          <w:szCs w:val="20"/>
        </w:rPr>
        <w:t xml:space="preserve">9) WSF normalization (wsf_n), verified as a max-normalization of the mean WSF settlement-likelihood value (DN_mean) per cell across all 495 cells (max abs. residual 0.0005):</w:t>
      </w:r>
    </w:p>
    <w:p>
      <w:pPr>
        <w:spacing w:after="100" w:before="60"/>
        <w:jc w:val="center"/>
      </w:pPr>
      <m:oMath>
        <m:sSub>
          <m:sSubPr/>
          <m:e>
            <m:r>
              <m:t>WSF</m:t>
            </m:r>
          </m:e>
          <m:sub>
            <m:r>
              <m:t>n,i</m:t>
            </m:r>
          </m:sub>
        </m:sSub>
        <m:r>
          <m:t> = </m:t>
        </m:r>
        <m:f>
          <m:num>
            <m:sSub>
              <m:sSubPr/>
              <m:e>
                <m:r>
                  <m:t>DN_mean</m:t>
                </m:r>
              </m:e>
              <m:sub>
                <m:r>
                  <m:t>i</m:t>
                </m:r>
              </m:sub>
            </m:sSub>
          </m:num>
          <m:den>
            <m:r>
              <m:t>max(DN_mean)</m:t>
            </m:r>
          </m:den>
        </m:f>
        <m:r>
          <m:t> ,   max(DN_mean) = 248.625</m:t>
        </m:r>
      </m:oMath>
      <w:r>
        <w:rPr>
          <w:sz w:val="20"/>
          <w:szCs w:val="20"/>
        </w:rPr>
        <w:t xml:space="preserve">    (11)</w:t>
      </w:r>
    </w:p>
    <w:p>
      <w:pPr>
        <w:spacing w:after="120"/>
        <w:jc w:val="both"/>
      </w:pPr>
      <w:r>
        <w:rPr>
          <w:sz w:val="20"/>
          <w:szCs w:val="20"/>
        </w:rPr>
        <w:t xml:space="preserve">The corresponding QGIS Field Calculator expressions, as recalled by the authors, are "obf_pct" / maximum("obf_pct"), "fid_count" / maximum("fid_count"), and "DN_mean" / maximum("DN_mean") respectively -- consistent with the independently verified mathematical form above.</w:t>
      </w:r>
    </w:p>
    <w:p>
      <w:pPr>
        <w:spacing w:after="120"/>
        <w:jc w:val="both"/>
      </w:pPr>
      <w:r>
        <w:rPr>
          <w:sz w:val="20"/>
          <w:szCs w:val="20"/>
        </w:rPr>
        <w:t xml:space="preserve">10) Urban Morphological Index (UMI): verified against every one of the 423 valid grid cells in the delivered attribute table (e.g., cell id 247: obf_n=0.009, bld_n=0.009, wsf_n=0.988 → UMI=0.335 exactly as stored),</w:t>
      </w:r>
    </w:p>
    <w:p>
      <w:pPr>
        <w:spacing w:after="100" w:before="60"/>
        <w:jc w:val="center"/>
      </w:pPr>
      <m:oMath>
        <m:sSub>
          <m:sSubPr/>
          <m:e>
            <m:r>
              <m:t>UMI</m:t>
            </m:r>
          </m:e>
          <m:sub>
            <m:r>
              <m:t>i</m:t>
            </m:r>
          </m:sub>
        </m:sSub>
        <m:r>
          <m:t> = </m:t>
        </m:r>
        <m:f>
          <m:num>
            <m:sSub>
              <m:sSubPr/>
              <m:e>
                <m:r>
                  <m:t>OBF</m:t>
                </m:r>
              </m:e>
              <m:sub>
                <m:r>
                  <m:t>n,i</m:t>
                </m:r>
              </m:sub>
            </m:sSub>
            <m:r>
              <m:t> + </m:t>
            </m:r>
            <m:sSub>
              <m:sSubPr/>
              <m:e>
                <m:r>
                  <m:t>bld</m:t>
                </m:r>
              </m:e>
              <m:sub>
                <m:r>
                  <m:t>n,i</m:t>
                </m:r>
              </m:sub>
            </m:sSub>
            <m:r>
              <m:t> + </m:t>
            </m:r>
            <m:sSub>
              <m:sSubPr/>
              <m:e>
                <m:r>
                  <m:t>WSF</m:t>
                </m:r>
              </m:e>
              <m:sub>
                <m:r>
                  <m:t>n,i</m:t>
                </m:r>
              </m:sub>
            </m:sSub>
          </m:num>
          <m:den>
            <m:r>
              <m:t>3</m:t>
            </m:r>
          </m:den>
        </m:f>
      </m:oMath>
      <w:r>
        <w:rPr>
          <w:sz w:val="20"/>
          <w:szCs w:val="20"/>
        </w:rPr>
        <w:t xml:space="preserve">    (12)</w:t>
      </w:r>
    </w:p>
    <w:p>
      <w:pPr>
        <w:spacing w:after="120"/>
        <w:jc w:val="both"/>
      </w:pPr>
      <w:r>
        <w:rPr>
          <w:sz w:val="20"/>
          <w:szCs w:val="20"/>
        </w:rPr>
        <w:t xml:space="preserve">11)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m:oMath>
        <m:sSub>
          <m:sSubPr/>
          <m:e>
            <m:r>
              <m:t>UMI</m:t>
            </m:r>
          </m:e>
          <m:sub>
            <m:r>
              <m:t>w,i</m:t>
            </m:r>
          </m:sub>
        </m:sSub>
        <m:r>
          <m:t> = 0.4·</m:t>
        </m:r>
        <m:sSub>
          <m:sSubPr/>
          <m:e>
            <m:r>
              <m:t>OBF</m:t>
            </m:r>
          </m:e>
          <m:sub>
            <m:r>
              <m:t>n,i</m:t>
            </m:r>
          </m:sub>
        </m:sSub>
        <m:r>
          <m:t> + 0.4·</m:t>
        </m:r>
        <m:sSub>
          <m:sSubPr/>
          <m:e>
            <m:r>
              <m:t>bld</m:t>
            </m:r>
          </m:e>
          <m:sub>
            <m:r>
              <m:t>n,i</m:t>
            </m:r>
          </m:sub>
        </m:sSub>
        <m:r>
          <m:t> + 0.2·</m:t>
        </m:r>
        <m:sSub>
          <m:sSubPr/>
          <m:e>
            <m:r>
              <m:t>WSF</m:t>
            </m:r>
          </m:e>
          <m:sub>
            <m:r>
              <m:t>n,i</m:t>
            </m:r>
          </m:sub>
        </m:sSub>
      </m:oMath>
      <w:r>
        <w:rPr>
          <w:sz w:val="20"/>
          <w:szCs w:val="20"/>
        </w:rPr>
        <w:t xml:space="preserve">    (13)</w:t>
      </w:r>
    </w:p>
    <w:p>
      <w:pPr>
        <w:spacing w:after="120"/>
      </w:pPr>
      <w:r>
        <w:rPr>
          <w:i/>
          <w:iCs/>
          <w:color w:val="C00000"/>
          <w:sz w:val="20"/>
          <w:szCs w:val="20"/>
        </w:rPr>
        <w:t xml:space="preserve">[AUTHOR TO CONFIRM: Eq. (13)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m:oMath>
        <m:sSub>
          <m:sSubPr/>
          <m:e>
            <m:r>
              <m:t>Z</m:t>
            </m:r>
          </m:e>
          <m:sub>
            <m:r>
              <m:t>ij</m:t>
            </m:r>
          </m:sub>
        </m:sSub>
        <m:r>
          <m:t> = </m:t>
        </m:r>
        <m:f>
          <m:num>
            <m:r>
              <m:t>(</m:t>
            </m:r>
            <m:sSub>
              <m:sSubPr/>
              <m:e>
                <m:r>
                  <m:t>X</m:t>
                </m:r>
              </m:e>
              <m:sub>
                <m:r>
                  <m:t>ij</m:t>
                </m:r>
              </m:sub>
            </m:sSub>
            <m:r>
              <m:t> − </m:t>
            </m:r>
            <m:sSub>
              <m:sSubPr/>
              <m:e>
                <m:r>
                  <m:t>μ</m:t>
                </m:r>
              </m:e>
              <m:sub>
                <m:r>
                  <m:t>j</m:t>
                </m:r>
              </m:sub>
            </m:sSub>
            <m:r>
              <m:t>)</m:t>
            </m:r>
          </m:num>
          <m:den>
            <m:sSub>
              <m:sSubPr/>
              <m:e>
                <m:r>
                  <m:t>σ</m:t>
                </m:r>
              </m:e>
              <m:sub>
                <m:r>
                  <m:t>j</m:t>
                </m:r>
              </m:sub>
            </m:sSub>
          </m:den>
        </m:f>
      </m:oMath>
      <w:r>
        <w:rPr>
          <w:sz w:val="20"/>
          <w:szCs w:val="20"/>
        </w:rPr>
        <w:t xml:space="preserve">    (14)</w:t>
      </w:r>
    </w:p>
    <w:p>
      <w:pPr>
        <w:spacing w:after="120"/>
        <w:jc w:val="both"/>
      </w:pPr>
      <w:r>
        <w:rPr>
          <w:sz w:val="20"/>
          <w:szCs w:val="20"/>
        </w:rPr>
        <w:t xml:space="preserve">and projected into a two-dimensional embedding using UMAP [2], which preserves local neighbourhood structure, with hyperparameters n_neighbors=15, min_dist=0.10, n_components=2, metric=Euclidean, and random_state=42:</w:t>
      </w:r>
    </w:p>
    <w:p>
      <w:pPr>
        <w:spacing w:after="100" w:before="60"/>
        <w:jc w:val="center"/>
      </w:pPr>
      <m:oMath>
        <m:r>
          <m:t>X (n×5) → Z (n×5) → Y (n×2)</m:t>
        </m:r>
      </m:oMath>
      <w:r>
        <w:rPr>
          <w:sz w:val="20"/>
          <w:szCs w:val="20"/>
        </w:rPr>
        <w:t xml:space="preserve">    (15)</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m:oMath>
        <m:r>
          <m:t>min </m:t>
        </m:r>
        <m:nary>
          <m:naryPr>
            <m:chr m:val="∑"/>
            <m:limLoc m:val="undOvr"/>
          </m:naryPr>
          <m:sub>
            <m:r>
              <m:t>k=1</m:t>
            </m:r>
          </m:sub>
          <m:sup>
            <m:r>
              <m:t>K</m:t>
            </m:r>
          </m:sup>
          <m:e>
            <m:nary>
              <m:naryPr>
                <m:chr m:val="∑"/>
                <m:limLoc m:val="undOvr"/>
                <m:supHide m:val="1"/>
              </m:naryPr>
              <m:sub>
                <m:r>
                  <m:t>xᵢ∈Cₖ</m:t>
                </m:r>
              </m:sub>
              <m:e>
                <m:sSup>
                  <m:sSupPr/>
                  <m:e>
                    <m:r>
                      <m:t>‖</m:t>
                    </m:r>
                    <m:sSub>
                      <m:sSubPr/>
                      <m:e>
                        <m:r>
                          <m:t>x</m:t>
                        </m:r>
                      </m:e>
                      <m:sub>
                        <m:r>
                          <m:t>i</m:t>
                        </m:r>
                      </m:sub>
                    </m:sSub>
                    <m:r>
                      <m:t> − </m:t>
                    </m:r>
                    <m:sSub>
                      <m:sSubPr/>
                      <m:e>
                        <m:r>
                          <m:t>μ</m:t>
                        </m:r>
                      </m:e>
                      <m:sub>
                        <m:r>
                          <m:t>k</m:t>
                        </m:r>
                      </m:sub>
                    </m:sSub>
                    <m:r>
                      <m:t>‖</m:t>
                    </m:r>
                  </m:e>
                  <m:sup>
                    <m:r>
                      <m:t>2</m:t>
                    </m:r>
                  </m:sup>
                </m:sSup>
              </m:e>
            </m:nary>
          </m:e>
        </m:nary>
        <m:r>
          <m:t> ,  K = 6</m:t>
        </m:r>
      </m:oMath>
      <w:r>
        <w:rPr>
          <w:sz w:val="20"/>
          <w:szCs w:val="20"/>
        </w:rPr>
        <w:t xml:space="preserve">    (16)</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built with the same spatial-weights definition. First, a Local Moran's I (LISA) map was produced in the original GIS workflow (Fig. 3) using k-nearest-neighbor weights (k=5) and a 999-permutation significance test, classifying each cell into High-High, Low-High, Low-Low, or High-Low quadrants at p&lt;0.05.</w:t>
      </w:r>
    </w:p>
    <w:p>
      <w:pPr>
        <w:spacing w:after="120"/>
        <w:jc w:val="both"/>
      </w:pPr>
      <w:r>
        <w:rPr>
          <w:sz w:val="20"/>
          <w:szCs w:val="20"/>
        </w:rPr>
        <w:t xml:space="preserve">Second, and separately, as an independent validation check for this study, we computed a global Moran's I on the composite UMI surface using an explicitly defined rook (4-neighbor edge) contiguity matrix built directly from the regular grid's row and column indices, row-standardized, with significance likewise assessed via a 999-permutation test. Because the two analyses use different neighbourhood definitions (k=5 nearest-neighbor for the original LISA map vs. rook contiguity for this validation check), their results are complementary evidence rather than a single computation reported twice. The general form of Moran's I is [12], and of the local statistic [3], [11]:</w:t>
      </w:r>
    </w:p>
    <w:p>
      <w:pPr>
        <w:spacing w:after="100" w:before="60"/>
        <w:jc w:val="center"/>
      </w:pPr>
      <m:oMath>
        <m:r>
          <m:t>I = </m:t>
        </m:r>
        <m:f>
          <m:num>
            <m:r>
              <m:t>n</m:t>
            </m:r>
          </m:num>
          <m:den>
            <m:r>
              <m:t>W</m:t>
            </m:r>
          </m:den>
        </m:f>
        <m:r>
          <m:t> · </m:t>
        </m:r>
        <m:f>
          <m:num>
            <m:nary>
              <m:naryPr>
                <m:chr m:val="∑"/>
                <m:limLoc m:val="undOvr"/>
                <m:supHide m:val="1"/>
              </m:naryPr>
              <m:sub>
                <m:r>
                  <m:t>i</m:t>
                </m:r>
              </m:sub>
              <m:e>
                <m:nary>
                  <m:naryPr>
                    <m:chr m:val="∑"/>
                    <m:limLoc m:val="undOvr"/>
                    <m:supHide m:val="1"/>
                  </m:naryPr>
                  <m:sub>
                    <m:r>
                      <m:t>j</m:t>
                    </m:r>
                  </m:sub>
                  <m:e>
                    <m:sSub>
                      <m:sSubPr/>
                      <m:e>
                        <m:r>
                          <m:t>w</m:t>
                        </m:r>
                      </m:e>
                      <m:sub>
                        <m:r>
                          <m:t>ij</m:t>
                        </m:r>
                      </m:sub>
                    </m:sSub>
                    <m:r>
                      <m:t>(</m:t>
                    </m:r>
                    <m:sSub>
                      <m:sSubPr/>
                      <m:e>
                        <m:r>
                          <m:t>x</m:t>
                        </m:r>
                      </m:e>
                      <m:sub>
                        <m:r>
                          <m:t>i</m:t>
                        </m:r>
                      </m:sub>
                    </m:sSub>
                    <m:r>
                      <m:t> − x̄)(</m:t>
                    </m:r>
                    <m:sSub>
                      <m:sSubPr/>
                      <m:e>
                        <m:r>
                          <m:t>x</m:t>
                        </m:r>
                      </m:e>
                      <m:sub>
                        <m:r>
                          <m:t>j</m:t>
                        </m:r>
                      </m:sub>
                    </m:sSub>
                    <m:r>
                      <m:t> − x̄)</m:t>
                    </m:r>
                  </m:e>
                </m:nary>
              </m:e>
            </m:nary>
          </m:num>
          <m:den>
            <m:nary>
              <m:naryPr>
                <m:chr m:val="∑"/>
                <m:limLoc m:val="undOvr"/>
                <m:supHide m:val="1"/>
              </m:naryPr>
              <m:sub>
                <m:r>
                  <m:t>i</m:t>
                </m:r>
              </m:sub>
              <m:e>
                <m:sSup>
                  <m:sSupPr/>
                  <m:e>
                    <m:r>
                      <m:t>(</m:t>
                    </m:r>
                    <m:sSub>
                      <m:sSubPr/>
                      <m:e>
                        <m:r>
                          <m:t>x</m:t>
                        </m:r>
                      </m:e>
                      <m:sub>
                        <m:r>
                          <m:t>i</m:t>
                        </m:r>
                      </m:sub>
                    </m:sSub>
                    <m:r>
                      <m:t> − x̄)</m:t>
                    </m:r>
                  </m:e>
                  <m:sup>
                    <m:r>
                      <m:t>2</m:t>
                    </m:r>
                  </m:sup>
                </m:sSup>
              </m:e>
            </m:nary>
          </m:den>
        </m:f>
        <m:r>
          <m:t> ,  W = </m:t>
        </m:r>
        <m:nary>
          <m:naryPr>
            <m:chr m:val="∑"/>
            <m:limLoc m:val="undOvr"/>
            <m:supHide m:val="1"/>
          </m:naryPr>
          <m:sub>
            <m:r>
              <m:t>i</m:t>
            </m:r>
          </m:sub>
          <m:e>
            <m:nary>
              <m:naryPr>
                <m:chr m:val="∑"/>
                <m:limLoc m:val="undOvr"/>
                <m:supHide m:val="1"/>
              </m:naryPr>
              <m:sub>
                <m:r>
                  <m:t>j</m:t>
                </m:r>
              </m:sub>
              <m:e>
                <m:sSub>
                  <m:sSubPr/>
                  <m:e>
                    <m:r>
                      <m:t>w</m:t>
                    </m:r>
                  </m:e>
                  <m:sub>
                    <m:r>
                      <m:t>ij</m:t>
                    </m:r>
                  </m:sub>
                </m:sSub>
              </m:e>
            </m:nary>
          </m:e>
        </m:nary>
      </m:oMath>
      <w:r>
        <w:rPr>
          <w:sz w:val="20"/>
          <w:szCs w:val="20"/>
        </w:rPr>
        <w:t xml:space="preserve">    (17)</w:t>
      </w:r>
    </w:p>
    <w:p>
      <w:pPr>
        <w:spacing w:after="100" w:before="60"/>
        <w:jc w:val="center"/>
      </w:pPr>
      <m:oMath>
        <m:sSub>
          <m:sSubPr/>
          <m:e>
            <m:r>
              <m:t>I</m:t>
            </m:r>
          </m:e>
          <m:sub>
            <m:r>
              <m:t>i</m:t>
            </m:r>
          </m:sub>
        </m:sSub>
        <m:r>
          <m:t> = </m:t>
        </m:r>
        <m:sSub>
          <m:sSubPr/>
          <m:e>
            <m:r>
              <m:t>z</m:t>
            </m:r>
          </m:e>
          <m:sub>
            <m:r>
              <m:t>i</m:t>
            </m:r>
          </m:sub>
        </m:sSub>
        <m:r>
          <m:t> </m:t>
        </m:r>
        <m:nary>
          <m:naryPr>
            <m:chr m:val="∑"/>
            <m:limLoc m:val="undOvr"/>
            <m:supHide m:val="1"/>
          </m:naryPr>
          <m:sub>
            <m:r>
              <m:t>j</m:t>
            </m:r>
          </m:sub>
          <m:e>
            <m:sSub>
              <m:sSubPr/>
              <m:e>
                <m:r>
                  <m:t>w</m:t>
                </m:r>
              </m:e>
              <m:sub>
                <m:r>
                  <m:t>ij</m:t>
                </m:r>
              </m:sub>
            </m:sSub>
            <m:r>
              <m:t> </m:t>
            </m:r>
            <m:sSub>
              <m:sSubPr/>
              <m:e>
                <m:r>
                  <m:t>z</m:t>
                </m:r>
              </m:e>
              <m:sub>
                <m:r>
                  <m:t>j</m:t>
                </m:r>
              </m:sub>
            </m:sSub>
          </m:e>
        </m:nary>
        <m:r>
          <m:t> ,  </m:t>
        </m:r>
        <m:sSub>
          <m:sSubPr/>
          <m:e>
            <m:r>
              <m:t>z</m:t>
            </m:r>
          </m:e>
          <m:sub>
            <m:r>
              <m:t>i</m:t>
            </m:r>
          </m:sub>
        </m:sSub>
        <m:r>
          <m:t> = </m:t>
        </m:r>
        <m:f>
          <m:num>
            <m:r>
              <m:t>(</m:t>
            </m:r>
            <m:sSub>
              <m:sSubPr/>
              <m:e>
                <m:r>
                  <m:t>x</m:t>
                </m:r>
              </m:e>
              <m:sub>
                <m:r>
                  <m:t>i</m:t>
                </m:r>
              </m:sub>
            </m:sSub>
            <m:r>
              <m:t> − x̄)</m:t>
            </m:r>
          </m:num>
          <m:den>
            <m:r>
              <m:t>s</m:t>
            </m:r>
          </m:den>
        </m:f>
      </m:oMath>
      <w:r>
        <w:rPr>
          <w:sz w:val="20"/>
          <w:szCs w:val="20"/>
        </w:rPr>
        <w:t xml:space="preserve">    (18)</w:t>
      </w: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UMI_w weighting (Eq. 13) remains an empirically recovered fit rather than a value confirmed from the original processing script, and the precise OBF data provenance (source, version, imagery vintage, access date; Section III-A) is still unconfirmed and required for the Data Availability statement.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6200000" cy="390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00000" cy="390290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pacing w:before="120"/>
        <w:jc w:val="center"/>
      </w:pPr>
      <w:r>
        <w:drawing>
          <wp:inline distT="0" distB="0" distL="0" distR="0">
            <wp:extent cx="6200000" cy="30292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00000" cy="3029244"/>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6200000" cy="438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00000" cy="43834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w:t>
      </w:r>
    </w:p>
    <w:p>
      <w:pPr>
        <w:spacing w:before="120"/>
        <w:jc w:val="center"/>
      </w:pPr>
      <w:r>
        <w:drawing>
          <wp:inline distT="0" distB="0" distL="0" distR="0">
            <wp:extent cx="6200000" cy="36504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00000" cy="3650414"/>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pacing w:before="120"/>
        <w:jc w:val="center"/>
      </w:pPr>
      <w:r>
        <w:drawing>
          <wp:inline distT="0" distB="0" distL="0" distR="0">
            <wp:extent cx="6200000" cy="227733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00000" cy="2277338"/>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 doi: 10.1177/2399808320921208.</w:t>
      </w:r>
    </w:p>
    <w:p>
      <w:pPr>
        <w:spacing w:after="80"/>
        <w:ind w:left="200" w:hanging="200"/>
      </w:pPr>
      <w:r>
        <w:rPr>
          <w:sz w:val="18"/>
          <w:szCs w:val="18"/>
        </w:rPr>
        <w:t xml:space="preserve">[2] L. McInnes, J. Healy, and J. Melville, "UMAP: Uniform Manifold Approximation and Projection for Dimension Reduction," arXiv:1802.03426, 2018, doi: 10.48550/arXiv.1802.03426.</w:t>
      </w:r>
    </w:p>
    <w:p>
      <w:pPr>
        <w:spacing w:after="80"/>
        <w:ind w:left="200" w:hanging="200"/>
      </w:pPr>
      <w:r>
        <w:rPr>
          <w:sz w:val="18"/>
          <w:szCs w:val="18"/>
        </w:rPr>
        <w:t xml:space="preserve">[3] L. Anselin, "Local Indicators of Spatial Association-LISA," Geogr. Anal., vol. 27, no. 2, pp. 93-115, 1995, doi: 10.1111/j.1538-4632.1995.tb00338.x.</w:t>
      </w:r>
    </w:p>
    <w:p>
      <w:pPr>
        <w:spacing w:after="80"/>
        <w:ind w:left="200" w:hanging="200"/>
      </w:pPr>
      <w:r>
        <w:rPr>
          <w:sz w:val="18"/>
          <w:szCs w:val="18"/>
        </w:rPr>
        <w:t xml:space="preserve">[4] M. Marconcini et al., "Outlining where humans live: the World Settlement Footprint 2015," Sci. Data, vol. 7, art. 242, 2020, doi: 10.1038/s41597-020-00580-5.</w:t>
      </w:r>
    </w:p>
    <w:p>
      <w:pPr>
        <w:spacing w:after="80"/>
        <w:ind w:left="200" w:hanging="200"/>
      </w:pPr>
      <w:r>
        <w:rPr>
          <w:sz w:val="18"/>
          <w:szCs w:val="18"/>
        </w:rPr>
        <w:t xml:space="preserve">[5] J. MacQueen, "Some methods for classification and analysis of multivariate observations," in Proc. 5th Berkeley Symp. Math. Stat. Probab., vol. 1, pp. 281-297, 1967. (No DOI -- pre-DOI-era conference proceedings.)</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 doi: 10.1016/0377-0427(87)90125-7.</w:t>
      </w:r>
    </w:p>
    <w:p>
      <w:pPr>
        <w:spacing w:after="80"/>
        <w:ind w:left="200" w:hanging="200"/>
      </w:pPr>
      <w:r>
        <w:rPr>
          <w:sz w:val="18"/>
          <w:szCs w:val="18"/>
        </w:rPr>
        <w:t xml:space="preserve">[8] D. L. Davies and D. W. Bouldin, "A Cluster Separation Measure," IEEE Trans. Pattern Anal. Mach. Intell., vol. PAMI-1, no. 2, pp. 224-227, 1979, doi: 10.1109/TPAMI.1979.4766909.</w:t>
      </w:r>
    </w:p>
    <w:p>
      <w:pPr>
        <w:spacing w:after="80"/>
        <w:ind w:left="200" w:hanging="200"/>
      </w:pPr>
      <w:r>
        <w:rPr>
          <w:sz w:val="18"/>
          <w:szCs w:val="18"/>
        </w:rPr>
        <w:t xml:space="preserve">[9] W. Sirko et al., "Continental-Scale Building Detection from High Resolution Satellite Imagery," arXiv:2107.12283, 2021, doi: 10.48550/arXiv.2107.12283.</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 (No DOI -- government report.)</w:t>
      </w:r>
    </w:p>
    <w:p>
      <w:pPr>
        <w:spacing w:after="80"/>
        <w:ind w:left="200" w:hanging="200"/>
      </w:pPr>
      <w:r>
        <w:rPr>
          <w:sz w:val="18"/>
          <w:szCs w:val="18"/>
        </w:rPr>
        <w:t xml:space="preserve">[11] A. Getis and J. K. Ord, "The Analysis of Spatial Association by Use of Distance Statistics," Geogr. Anal., vol. 24, no. 3, pp. 189-206, 1992, doi: 10.1111/j.1538-4632.1992.tb00261.x.</w:t>
      </w:r>
    </w:p>
    <w:p>
      <w:pPr>
        <w:spacing w:after="80"/>
        <w:ind w:left="200" w:hanging="200"/>
      </w:pPr>
      <w:r>
        <w:rPr>
          <w:sz w:val="18"/>
          <w:szCs w:val="18"/>
        </w:rPr>
        <w:t xml:space="preserve">[12] P. A. P. Moran, "Notes on Continuous Stochastic Phenomena," Biometrika, vol. 37, no. 1/2, pp. 17-23, 1950, doi: 10.1093/biomet/37.1-2.17.</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056f49fa5c430ea0646f7e836302c140888b5c6a.png"/><Relationship Id="rId10" Type="http://schemas.openxmlformats.org/officeDocument/2006/relationships/image" Target="media/1204c7584af602247743153ed2402198d2081ae1.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2026-09-24T11:07:58.087Z</dcterms:created>
  <dcterms:modified xsi:type="dcterms:W3CDTF">2026-09-24T11:07:58.098Z</dcterms:modified>
</cp:coreProperties>
</file>

<file path=docProps/custom.xml><?xml version="1.0" encoding="utf-8"?>
<Properties xmlns="http://schemas.openxmlformats.org/officeDocument/2006/custom-properties" xmlns:vt="http://schemas.openxmlformats.org/officeDocument/2006/docPropsVTypes"/>
</file>