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68lv34kexi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Top 10 Education Systems: Policies, Reforms, and Future Plans (2025)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Scope &amp; method.</w:t>
      </w:r>
      <w:r w:rsidDel="00000000" w:rsidR="00000000" w:rsidRPr="00000000">
        <w:rPr>
          <w:sz w:val="26"/>
          <w:szCs w:val="26"/>
          <w:rtl w:val="0"/>
        </w:rPr>
        <w:t xml:space="preserve"> This comparative brief looks at 10 consistently high‑performing or globally influential K‑12 systems: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Singapore, Japan, South Korea, Estonia, Finland, Netherlands, Switzerland, Canada, United Kingdom (England)</w:t>
      </w:r>
      <w:r w:rsidDel="00000000" w:rsidR="00000000" w:rsidRPr="00000000">
        <w:rPr>
          <w:sz w:val="26"/>
          <w:szCs w:val="26"/>
          <w:rtl w:val="0"/>
        </w:rPr>
        <w:t xml:space="preserve">, and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United States</w:t>
      </w:r>
      <w:r w:rsidDel="00000000" w:rsidR="00000000" w:rsidRPr="00000000">
        <w:rPr>
          <w:sz w:val="26"/>
          <w:szCs w:val="26"/>
          <w:rtl w:val="0"/>
        </w:rPr>
        <w:t xml:space="preserve">. Selection balances OECD PISA performance (latest cycle: 2022), equity indicators, policy influence, and scale. Each profile summarizes governance, funding, curriculum/assessment, teacher policy, equity measures, digital/AI direction, </w:t>
      </w:r>
      <w:r w:rsidDel="00000000" w:rsidR="00000000" w:rsidRPr="00000000">
        <w:rPr>
          <w:b w:val="1"/>
          <w:sz w:val="26"/>
          <w:szCs w:val="26"/>
          <w:rtl w:val="0"/>
        </w:rPr>
        <w:t xml:space="preserve">current reforms (2023–2025)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announced/plausible next steps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Reading tip:</w:t>
      </w:r>
      <w:r w:rsidDel="00000000" w:rsidR="00000000" w:rsidRPr="00000000">
        <w:rPr>
          <w:sz w:val="26"/>
          <w:szCs w:val="26"/>
          <w:rtl w:val="0"/>
        </w:rPr>
        <w:t xml:space="preserve"> Use this as a quick policy playbook. Scan each country’s “What’s next” for the forward view; the cross‑system trends section at the end highlights convergences to watch.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7l9y3v1mx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Singapore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Centralized under MOE; strong vertical coherence from curriculum to exams. High public investment in teacher development and EdTech; SkillsFuture bridges K‑12 to lifelong learning.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National syllabi; high‑stakes exams (PSLE, O‑/A‑Levels) with recent moderation of exam pressure. Emphasis on bilingualism, computational thinking, and character/citizenship education.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Selective entry (NIE), salaried training, performance development pathways; significant in‑service upskilling in pedagogy and digital literacies.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Early intervention and financial aid; subject‑based banding replacing streaming to broaden pathways and reduce early tracking.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System‑level EdTech master‑planning; MOE digital literacy and cyber‑wellness strands; widespread 1:1 access in secondary.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De‑emphasizing exam sorting; more applied pathways; refresh of ICT/AI literacy across subjects; ongoing curriculum load review.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 (announced/expected).</w:t>
      </w:r>
      <w:r w:rsidDel="00000000" w:rsidR="00000000" w:rsidRPr="00000000">
        <w:rPr>
          <w:sz w:val="26"/>
          <w:szCs w:val="26"/>
          <w:rtl w:val="0"/>
        </w:rPr>
        <w:t xml:space="preserve"> Continued personalization via analytics, expansion of applied and inter‑disciplinary learning; stronger work‑learn bridges via SkillsFuture; careful guardrails for classroom AI.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q7a0tx1ok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Japan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National curriculum guidelines (Courses of Study) set by MEXT; local implementation by prefectures/municipalities.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Broad academic core plus moral education; inquiry‑based “Integrated Studies.” English and programming strengthened.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Prefectural hiring; lesson study traditions; pressure on workload and staffing in some regions.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Universal access; attention to rural/urban device and connectivity gaps.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GIGA School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initiative → 1:1 devices and cloud; exploration of digital textbooks and learning analytics; focus on safe/ethical AI use.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Second phase of GIGA device refresh; experimentation with digital textbooks; discussion on granting schools more discretion in timetabling/curriculum.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Upgraded devices/services through 2028; growth of data‑informed instruction; incremental policy on AI supports, with emphasis on teacher capacity and wellbeing.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smamulszz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South Korea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Central direction from MOE with strong accountability; competitive culture and large private tutoring sector.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National curriculum; CSAT (Suneung) remains pivotal; efforts to ease exam intensity and broaden competencies.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Highly respected; strong preparation; workload and demographic shifts (declining cohort sizes) prompting redeployment.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Targeted support for low‑income students; rural broadband/device access improvements.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Ambitious </w:t>
      </w:r>
      <w:r w:rsidDel="00000000" w:rsidR="00000000" w:rsidRPr="00000000">
        <w:rPr>
          <w:b w:val="1"/>
          <w:sz w:val="26"/>
          <w:szCs w:val="26"/>
          <w:rtl w:val="0"/>
        </w:rPr>
        <w:t xml:space="preserve">AI‑enhanced digital textbooks</w:t>
      </w:r>
      <w:r w:rsidDel="00000000" w:rsidR="00000000" w:rsidRPr="00000000">
        <w:rPr>
          <w:sz w:val="26"/>
          <w:szCs w:val="26"/>
          <w:rtl w:val="0"/>
        </w:rPr>
        <w:t xml:space="preserve"> and adaptive platforms; rapid classroom integration balanced with safety/ethics.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Initial rollout of AI‑supported digital textbooks (phased subjects/grades); national debate and iterative guardrails.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Progressive scale‑up to more subjects by 2028, contingent on evaluation evidence, teacher support, and data‑privacy assurances.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usb4n5cj6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Estonia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National curriculum; municipalities operate schools; strong digital infrastructure and national education services.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Balanced core curriculum emphasizing digital competence and cross‑disciplinary projects; national exams at basic and upper‑secondary stages.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Upgrading qualifications and pay; support for digital pedagogy; teacher supply in small municipalities is a watchpoint.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Among the most equitable results in Europe; targeted support for language minorities; ongoing network optimization as population declines.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“Digital‑by‑default” public services spill into schools—e‑assessments, e‑school platforms, and data services.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Transition to Estonian‑language instruction starting from early years; planning to extend compulsory education to 18; restructuring upper‑secondary network and state responsibility.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Continued network consolidation; deeper use of analytics; sustained focus on bilingual transitions and rural access.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pvmaunmtv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Finland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Decentralized with strong national core curriculum; trust‑based professionalism; comprehensive schooling to age 16.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Competency‑based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phenomenon‑based learning</w:t>
      </w:r>
      <w:r w:rsidDel="00000000" w:rsidR="00000000" w:rsidRPr="00000000">
        <w:rPr>
          <w:sz w:val="26"/>
          <w:szCs w:val="26"/>
          <w:rtl w:val="0"/>
        </w:rPr>
        <w:t xml:space="preserve"> and multiliteracies; light‑touch national testing; matriculation exam digitalized.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Master’s‑level qualification; high autonomy; ongoing recruitment challenges in some subjects/regions.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Universal early childhood, special education supports, and student welfare underpin strong inclusion.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Systemic media/digital literacy policy; growing teacher guidance on AI, critical evaluation, and data protection.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Updates to media/digital literacy guidance; further digitization of assessments; local AI classroom guidance and pilots.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Consolidate AI/media literacy across grades; bolster teacher workload supports; targeted interventions to address post‑pandemic learning gaps.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feulnqfr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Netherlands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Central standards with school‑level freedom; funding follows pupils; inspectorate ensures quality.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National attainment targets; Cito testing; active curriculum renewal (curriculum.nu) to streamline subject goals.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Autonomy with ongoing concerns about shortages; pay/conditions policy continues.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Longstanding choice among public/faith schools; targeted supports for disadvantaged areas.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Pragmatic integration of devices/platforms; 2024 guidance limiting personal phones during school day to reduce distraction.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Phone restrictions; staged curriculum updates; attention to basic skills (language/math) and teacher supply.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Rollout of refreshed curricula; evidence‑based phone/AI policies; recruitment and retention measures.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m6ggbmigq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Switzerland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Highly federal (cantonal) with coordination by EDK/CDIP; strong VET pathways; high per‑pupil spend.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Lehrplan 21 (German‑speaking cantons) and regional equivalents; standardized competencies with local flexibility.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Cantonal training standards; attractive VET and academic tracks require subject‑specialist staffing.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Focus on language integration and permeability between tracks; robust apprenticeship market.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National/cantonal digital strategies for schools; widening use of e‑assessment and informatics competencies.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Updates to upper‑secondary and baccalaureate frameworks; continued rollout of cantonal digitization programs.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Stronger data literacy/AI ethics in curricula; maintain permeability between academic and VET as automation reshapes occupations.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rob8pblfw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Canada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Provincial/territorial systems coordinated via CMEC; public funding dominant; diverse delivery models.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Province‑specific curricula; common emphasis on literacy, numeracy, Indigenous education, and competencies.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Provincial certification; attention to recruitment in remote/Francophone/Indigenous communities.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System‑wide focus on inclusion, particularly Indigenous reconciliation and supports for multilingual learners.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Rapid provincial guidance on responsible AI; digital literacy embedded; significant district‑level pilots.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Multiple provinces expanding “back‑to‑basics” literacy/math strategies and phonics‑aligned early reading; increased funding post‑pandemic; pan‑Canadian dialogue on AI use.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Clearer provincial guardrails for generative AI; sustained investments in early literacy and math; improved data on outcomes for equity‑deserving groups.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zhp4ol38g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9) United Kingdom (England)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Central standards/accountability (DfE, Ofsted) with academy trusts/local authorities operating schools.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National Curriculum; GCSEs/A‑levels; ongoing focus on knowledge‑rich sequencing and early reading (systematic synthetic phonics).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Early Career Framework reforms; retention and workload remain priorities.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Pupil Premium targeting disadvantage; tutoring catch‑up; SEND improvement plan implementation.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National guidance on mobile phones (restrict use during the day) and advisory notes on generative AI; EdTech procurement frameworks.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Non‑statutory phone guidance; continued phonics/early language emphasis; SEND reforms and attendance focus.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Targeted literacy/numeracy catch‑up; pragmatic AI classroom guidance; teacher workload reduction via digital tools.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r1vacm6l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10) United States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Governance &amp; funding.</w:t>
      </w:r>
      <w:r w:rsidDel="00000000" w:rsidR="00000000" w:rsidRPr="00000000">
        <w:rPr>
          <w:sz w:val="26"/>
          <w:szCs w:val="26"/>
          <w:rtl w:val="0"/>
        </w:rPr>
        <w:t xml:space="preserve"> Highly decentralized; states/districts drive standards, funding formulas, and accountability within federal frameworks.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Curriculum &amp; assessment.</w:t>
      </w:r>
      <w:r w:rsidDel="00000000" w:rsidR="00000000" w:rsidRPr="00000000">
        <w:rPr>
          <w:sz w:val="26"/>
          <w:szCs w:val="26"/>
          <w:rtl w:val="0"/>
        </w:rPr>
        <w:t xml:space="preserve"> State standards; annual testing in core grades; NAEP sampling for national benchmarking; growing focus on science‑of‑reading and high‑quality instructional materials.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Teachers.</w:t>
      </w:r>
      <w:r w:rsidDel="00000000" w:rsidR="00000000" w:rsidRPr="00000000">
        <w:rPr>
          <w:sz w:val="26"/>
          <w:szCs w:val="26"/>
          <w:rtl w:val="0"/>
        </w:rPr>
        <w:t xml:space="preserve"> Acute shortages in specific subjects/regions; policy attention on preparation, licensure flexibility, pay, and mentoring.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Equity.</w:t>
      </w:r>
      <w:r w:rsidDel="00000000" w:rsidR="00000000" w:rsidRPr="00000000">
        <w:rPr>
          <w:sz w:val="26"/>
          <w:szCs w:val="26"/>
          <w:rtl w:val="0"/>
        </w:rPr>
        <w:t xml:space="preserve"> Federal programs target low‑income and students with disabilities; state initiatives on tutoring, attendance, and career pathways.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Digital/AI direction.</w:t>
      </w:r>
      <w:r w:rsidDel="00000000" w:rsidR="00000000" w:rsidRPr="00000000">
        <w:rPr>
          <w:sz w:val="26"/>
          <w:szCs w:val="26"/>
          <w:rtl w:val="0"/>
        </w:rPr>
        <w:t xml:space="preserve"> Federal guidance frames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responsible AI</w:t>
      </w:r>
      <w:r w:rsidDel="00000000" w:rsidR="00000000" w:rsidRPr="00000000">
        <w:rPr>
          <w:sz w:val="26"/>
          <w:szCs w:val="26"/>
          <w:rtl w:val="0"/>
        </w:rPr>
        <w:t xml:space="preserve"> adoption; states moving on phone restrictions and AI policies; districts piloting AI for lesson planning, feedback, and tutoring with privacy guardrails.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Recent reforms (2023–2025).</w:t>
      </w:r>
      <w:r w:rsidDel="00000000" w:rsidR="00000000" w:rsidRPr="00000000">
        <w:rPr>
          <w:sz w:val="26"/>
          <w:szCs w:val="26"/>
          <w:rtl w:val="0"/>
        </w:rPr>
        <w:t xml:space="preserve"> State‑level waves on early literacy (science‑of‑reading), math acceleration, cell‑phone policies, career/technical education pathways, and AI guidance.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next.</w:t>
      </w:r>
      <w:r w:rsidDel="00000000" w:rsidR="00000000" w:rsidRPr="00000000">
        <w:rPr>
          <w:sz w:val="26"/>
          <w:szCs w:val="26"/>
          <w:rtl w:val="0"/>
        </w:rPr>
        <w:t xml:space="preserve"> More structured AI governance (procurement, privacy, bias), sustained tutoring/attendance strategies, and investment debates tied to federal and state budgets.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snqoykc3rqo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Cross‑system comparisons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Governance &amp; coherence.</w:t>
      </w:r>
      <w:r w:rsidDel="00000000" w:rsidR="00000000" w:rsidRPr="00000000">
        <w:rPr>
          <w:sz w:val="26"/>
          <w:szCs w:val="26"/>
          <w:rtl w:val="0"/>
        </w:rPr>
        <w:t xml:space="preserve"> Centralized systems (Singapore, Japan, Korea, Estonia) can align curriculum, teacher learning, and EdTech faster; decentralized systems (Canada, US, Switzerland) innovate locally but face unevenness.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Curriculum direction.</w:t>
      </w:r>
      <w:r w:rsidDel="00000000" w:rsidR="00000000" w:rsidRPr="00000000">
        <w:rPr>
          <w:sz w:val="26"/>
          <w:szCs w:val="26"/>
          <w:rtl w:val="0"/>
        </w:rPr>
        <w:t xml:space="preserve"> Convergence on foundational literacy/numeracy </w:t>
      </w:r>
      <w:r w:rsidDel="00000000" w:rsidR="00000000" w:rsidRPr="00000000">
        <w:rPr>
          <w:b w:val="1"/>
          <w:sz w:val="26"/>
          <w:szCs w:val="26"/>
          <w:rtl w:val="0"/>
        </w:rPr>
        <w:t xml:space="preserve">plus</w:t>
      </w:r>
      <w:r w:rsidDel="00000000" w:rsidR="00000000" w:rsidRPr="00000000">
        <w:rPr>
          <w:sz w:val="26"/>
          <w:szCs w:val="26"/>
          <w:rtl w:val="0"/>
        </w:rPr>
        <w:t xml:space="preserve"> digital/media literacy and data/AI awareness. Finland/Estonia embed transversal competencies; Singapore/Japan/Korea add structured computational thinking.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Assessment.</w:t>
      </w:r>
      <w:r w:rsidDel="00000000" w:rsidR="00000000" w:rsidRPr="00000000">
        <w:rPr>
          <w:sz w:val="26"/>
          <w:szCs w:val="26"/>
          <w:rtl w:val="0"/>
        </w:rPr>
        <w:t xml:space="preserve"> Movement toward mixed modes: high‑stakes external exams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rtl w:val="0"/>
        </w:rPr>
        <w:t xml:space="preserve"> digital/teacher‑moderated assessments; growth of online/AI‑assisted formative tools.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Teacher policy.</w:t>
      </w:r>
      <w:r w:rsidDel="00000000" w:rsidR="00000000" w:rsidRPr="00000000">
        <w:rPr>
          <w:sz w:val="26"/>
          <w:szCs w:val="26"/>
          <w:rtl w:val="0"/>
        </w:rPr>
        <w:t xml:space="preserve"> All systems are doubling down on continuous professional learning for digital/AI pedagogy. Recruitment/retention is a shared risk (subject shortages; rural postings).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Equity.</w:t>
      </w:r>
      <w:r w:rsidDel="00000000" w:rsidR="00000000" w:rsidRPr="00000000">
        <w:rPr>
          <w:sz w:val="26"/>
          <w:szCs w:val="26"/>
          <w:rtl w:val="0"/>
        </w:rPr>
        <w:t xml:space="preserve"> Priority themes: early‑years access, targeted catch‑up, language support, rural connectivity/devices, and mental health.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EdTech/AI.</w:t>
      </w:r>
      <w:r w:rsidDel="00000000" w:rsidR="00000000" w:rsidRPr="00000000">
        <w:rPr>
          <w:sz w:val="26"/>
          <w:szCs w:val="26"/>
          <w:rtl w:val="0"/>
        </w:rPr>
        <w:t xml:space="preserve"> Ubiquitous devices and platforms are now baseline; </w:t>
      </w:r>
      <w:r w:rsidDel="00000000" w:rsidR="00000000" w:rsidRPr="00000000">
        <w:rPr>
          <w:b w:val="1"/>
          <w:sz w:val="26"/>
          <w:szCs w:val="26"/>
          <w:rtl w:val="0"/>
        </w:rPr>
        <w:t xml:space="preserve">guardrails for AI</w:t>
      </w:r>
      <w:r w:rsidDel="00000000" w:rsidR="00000000" w:rsidRPr="00000000">
        <w:rPr>
          <w:sz w:val="26"/>
          <w:szCs w:val="26"/>
          <w:rtl w:val="0"/>
        </w:rPr>
        <w:t xml:space="preserve">—privacy, bias, transparency—are being written in real time. Korea/Japan are the boldest on AI‑textbooks/devices; UK/Netherlands emphasize distraction reduction; Finland/Estonia focus on media literacy and safe use.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5cprjnhxhbw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What to expect next (2025–2030)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 moves from pilots to policy.</w:t>
      </w:r>
      <w:r w:rsidDel="00000000" w:rsidR="00000000" w:rsidRPr="00000000">
        <w:rPr>
          <w:sz w:val="26"/>
          <w:szCs w:val="26"/>
          <w:rtl w:val="0"/>
        </w:rPr>
        <w:t xml:space="preserve"> Expect official AI use policies (procurement, transparency, data minimization) and required teacher training. Early use cases: feedback/tutoring, planning, and assessment support.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Renewed basics with better materials.</w:t>
      </w:r>
      <w:r w:rsidDel="00000000" w:rsidR="00000000" w:rsidRPr="00000000">
        <w:rPr>
          <w:sz w:val="26"/>
          <w:szCs w:val="26"/>
          <w:rtl w:val="0"/>
        </w:rPr>
        <w:t xml:space="preserve"> Literacy (science‑of‑reading) and math fluency remain a top agenda, paired with explicit reasoning and problem‑solving tasks.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 assessments at scale.</w:t>
      </w:r>
      <w:r w:rsidDel="00000000" w:rsidR="00000000" w:rsidRPr="00000000">
        <w:rPr>
          <w:sz w:val="26"/>
          <w:szCs w:val="26"/>
          <w:rtl w:val="0"/>
        </w:rPr>
        <w:t xml:space="preserve"> More on‑screen national exams, adaptive diagnostics, and e‑portfolios—tempered by access and accessibility requirements.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 workload and retention.</w:t>
      </w:r>
      <w:r w:rsidDel="00000000" w:rsidR="00000000" w:rsidRPr="00000000">
        <w:rPr>
          <w:sz w:val="26"/>
          <w:szCs w:val="26"/>
          <w:rtl w:val="0"/>
        </w:rPr>
        <w:t xml:space="preserve"> Policy levers: induction mentoring, career ladders, targeted pay supplements, and AI for admin load reduction.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Pathways and permeability.</w:t>
      </w:r>
      <w:r w:rsidDel="00000000" w:rsidR="00000000" w:rsidRPr="00000000">
        <w:rPr>
          <w:sz w:val="26"/>
          <w:szCs w:val="26"/>
          <w:rtl w:val="0"/>
        </w:rPr>
        <w:t xml:space="preserve"> Expansion of applied/technical routes (VET, apprenticeships, work‑based learning) alongside academic tracks.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Network optimization.</w:t>
      </w:r>
      <w:r w:rsidDel="00000000" w:rsidR="00000000" w:rsidRPr="00000000">
        <w:rPr>
          <w:sz w:val="26"/>
          <w:szCs w:val="26"/>
          <w:rtl w:val="0"/>
        </w:rPr>
        <w:t xml:space="preserve"> Demographic decline in several countries (Estonia, Japan, Korea, parts of Europe) drives school network consolidation and transport solutions.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Wellbeing &amp; attention.</w:t>
      </w:r>
      <w:r w:rsidDel="00000000" w:rsidR="00000000" w:rsidRPr="00000000">
        <w:rPr>
          <w:sz w:val="26"/>
          <w:szCs w:val="26"/>
          <w:rtl w:val="0"/>
        </w:rPr>
        <w:t xml:space="preserve"> Tighter phone policies, attention literacy, and cyber‑wellness integrated into curricula.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wsg8ffvr6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Snapshot comparison table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.9656652360516"/>
        <w:gridCol w:w="1588.326180257511"/>
        <w:gridCol w:w="1338.0257510729616"/>
        <w:gridCol w:w="948.6695278969958"/>
        <w:gridCol w:w="1069.1845493562232"/>
        <w:gridCol w:w="1328.7553648068672"/>
        <w:gridCol w:w="1217.510729613734"/>
        <w:gridCol w:w="1013.5622317596568"/>
        <w:tblGridChange w:id="0">
          <w:tblGrid>
            <w:gridCol w:w="855.9656652360516"/>
            <w:gridCol w:w="1588.326180257511"/>
            <w:gridCol w:w="1338.0257510729616"/>
            <w:gridCol w:w="948.6695278969958"/>
            <w:gridCol w:w="1069.1845493562232"/>
            <w:gridCol w:w="1328.7553648068672"/>
            <w:gridCol w:w="1217.510729613734"/>
            <w:gridCol w:w="1013.562231759656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Curriculum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Assessment shift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Teacher priorities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Equity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Digital/AI 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2025–2030 outlook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Centralized MOE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Bilingual, applied &amp;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Moderate high‑stakes + more school‑based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Upskilling for personalization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De‑streaming &amp;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Master‑planned EdTech; cautious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Personalized pathways; SkillsFuture links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National guidelines + local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Inquiry + core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Digital textbooks pilots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Workload relief; device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Rural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GIGA device refresh;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Data‑informed instruction; incremental AI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S. Korea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Central 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Competency + exam pressure easing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AI‑textbooks phased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Support for AI pedagogy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Reduce private tutoring reliance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Bold AI rollout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Scale with guardrails; privacy focus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National curriculum + municipal 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Digital competence &amp;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e‑assessment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Supply in small municipalities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 transition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Digital‑by‑default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Extend compulsory ed.; network optimization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Decentral + national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Phenomenon‑based, multiliteracy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Digital matriculation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Recruitment; autonomy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Inclusive supports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Media/AI literacy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Consolidate AI guidance; gap‑closing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Netherlands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Central targets + school freedom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Curriculum refresh (curriculum.nu)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Mixed; national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Shortage mitigation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Disadvantaged area funding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 limits; pragmatic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Rollout refreshed curricula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Switzerland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Cantonal federalism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Competency‑based, strong VET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Standardized competencies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Subject specialists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Cantonal digital strategies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AI ethics &amp; data literacy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Provincial systems + CMEC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Literacy/math + Indigenous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Provincial large‑scale + classroom assessment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Remote/subject shortages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Indigenous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Provincial AI guidance emerging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Stronger AI guardrails; early literacy push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UK (England)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Central standards/accountability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Knowledge‑rich; phonics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Digital/AI guidance + exams status quo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ECF, workload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Pupil Premium; 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 guidance; pragmatic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Catch‑up; workload reduction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State‑led diversity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Science‑of‑reading; CTE pathways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NAEP + state tests; more digital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Pipeline + pay/mentoring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Attendance/tutoring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 AI &amp; phone policies vary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Formal AI governance; sustained basics</w:t>
            </w:r>
          </w:p>
        </w:tc>
      </w:tr>
    </w:tbl>
    <w:p w:rsidR="00000000" w:rsidDel="00000000" w:rsidP="00000000" w:rsidRDefault="00000000" w:rsidRPr="00000000" w14:paraId="000000C9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Sources &amp; further reading.</w:t>
      </w:r>
      <w:r w:rsidDel="00000000" w:rsidR="00000000" w:rsidRPr="00000000">
        <w:rPr>
          <w:sz w:val="26"/>
          <w:szCs w:val="26"/>
          <w:rtl w:val="0"/>
        </w:rPr>
        <w:t xml:space="preserve"> A full linked reference list is available in the chat. This canvas intentionally avoids inline citation formatting to keep it readable.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Global benchmark context (PISA 2022):</w:t>
      </w:r>
      <w:r w:rsidDel="00000000" w:rsidR="00000000" w:rsidRPr="00000000">
        <w:rPr>
          <w:sz w:val="26"/>
          <w:szCs w:val="26"/>
          <w:rtl w:val="0"/>
        </w:rPr>
        <w:t xml:space="preserve"> Singapore led across domains; Estonia the top EU performer; Japan, Korea, Switzerland, Netherlands and Canada were among high performers.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Singapore:</w:t>
      </w:r>
      <w:r w:rsidDel="00000000" w:rsidR="00000000" w:rsidRPr="00000000">
        <w:rPr>
          <w:sz w:val="26"/>
          <w:szCs w:val="26"/>
          <w:rtl w:val="0"/>
        </w:rPr>
        <w:t xml:space="preserve"> MOE continues to rebalance high-stakes sorting while scaling digital and AI literacy within national curricula. (See MOE policy updates and EdTech master-planning context.) 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U.S. Department of Education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Japan (GIGA School, digital textbooks):</w:t>
      </w:r>
      <w:r w:rsidDel="00000000" w:rsidR="00000000" w:rsidRPr="00000000">
        <w:rPr>
          <w:sz w:val="26"/>
          <w:szCs w:val="26"/>
          <w:rtl w:val="0"/>
        </w:rPr>
        <w:t xml:space="preserve"> 1:1 devices nationally, now entering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second phase</w:t>
      </w:r>
      <w:r w:rsidDel="00000000" w:rsidR="00000000" w:rsidRPr="00000000">
        <w:rPr>
          <w:sz w:val="26"/>
          <w:szCs w:val="26"/>
          <w:rtl w:val="0"/>
        </w:rPr>
        <w:t xml:space="preserve"> from FY2024 with refreshed specs; ongoing exploration of digital textbooks and data use in instruction. (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Digital Government Japan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daj.jp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MEXT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South Korea (AI digital textbooks):</w:t>
      </w:r>
      <w:r w:rsidDel="00000000" w:rsidR="00000000" w:rsidRPr="00000000">
        <w:rPr>
          <w:sz w:val="26"/>
          <w:szCs w:val="26"/>
          <w:rtl w:val="0"/>
        </w:rPr>
        <w:t xml:space="preserve"> National plan to phase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AI-enhanced digital textbooks starting 2025</w:t>
      </w:r>
      <w:r w:rsidDel="00000000" w:rsidR="00000000" w:rsidRPr="00000000">
        <w:rPr>
          <w:sz w:val="26"/>
          <w:szCs w:val="26"/>
          <w:rtl w:val="0"/>
        </w:rPr>
        <w:t xml:space="preserve">, with expanded subjects through 2028; rollout and debate covered by MOE briefings and international monitors. (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English MOE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13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moe.go.kr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World Bank Blogs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1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Financial Times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Estonia:</w:t>
      </w:r>
      <w:r w:rsidDel="00000000" w:rsidR="00000000" w:rsidRPr="00000000">
        <w:rPr>
          <w:sz w:val="26"/>
          <w:szCs w:val="26"/>
          <w:rtl w:val="0"/>
        </w:rPr>
        <w:t xml:space="preserve"> Transition to Estonian-language instruction from 2024; preparation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extend compulsory education to 18</w:t>
      </w:r>
      <w:r w:rsidDel="00000000" w:rsidR="00000000" w:rsidRPr="00000000">
        <w:rPr>
          <w:sz w:val="26"/>
          <w:szCs w:val="26"/>
          <w:rtl w:val="0"/>
        </w:rPr>
        <w:t xml:space="preserve">; active school-network optimization. (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Publications Office of the EU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20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Education GPS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2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hm.ee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Finland:</w:t>
      </w:r>
      <w:r w:rsidDel="00000000" w:rsidR="00000000" w:rsidRPr="00000000">
        <w:rPr>
          <w:sz w:val="26"/>
          <w:szCs w:val="26"/>
          <w:rtl w:val="0"/>
        </w:rPr>
        <w:t xml:space="preserve"> Media/digital literacy embedded across the national core curriculum; fresh guidance for teachers on AI and information literacy. (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Oph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2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Finland Toolbox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Netherlands:</w:t>
      </w:r>
      <w:r w:rsidDel="00000000" w:rsidR="00000000" w:rsidRPr="00000000">
        <w:rPr>
          <w:sz w:val="26"/>
          <w:szCs w:val="26"/>
          <w:rtl w:val="0"/>
        </w:rPr>
        <w:t xml:space="preserve"> National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guidance restricting student phone use</w:t>
      </w:r>
      <w:r w:rsidDel="00000000" w:rsidR="00000000" w:rsidRPr="00000000">
        <w:rPr>
          <w:sz w:val="26"/>
          <w:szCs w:val="26"/>
          <w:rtl w:val="0"/>
        </w:rPr>
        <w:t xml:space="preserve"> during the school day (from 2024) and staged curriculum renewal (curriculum.nu).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Switzerland:</w:t>
      </w:r>
      <w:r w:rsidDel="00000000" w:rsidR="00000000" w:rsidRPr="00000000">
        <w:rPr>
          <w:sz w:val="26"/>
          <w:szCs w:val="26"/>
          <w:rtl w:val="0"/>
        </w:rPr>
        <w:t xml:space="preserve"> Federal/ cantonal digital strategies for schooling and upper-secondary/Baccalaureate framework updates in recent years (EDK/CDIP coordination).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Canada:</w:t>
      </w:r>
      <w:r w:rsidDel="00000000" w:rsidR="00000000" w:rsidRPr="00000000">
        <w:rPr>
          <w:sz w:val="26"/>
          <w:szCs w:val="26"/>
          <w:rtl w:val="0"/>
        </w:rPr>
        <w:t xml:space="preserve"> PISA 2022 national/provincial report and recent provincial pushes on “back-to-basics” literacy/math (e.g., Ontario 2024–25 investments). (</w:t>
      </w: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ResearchGate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2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michaelparsampp.ca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United Kingdom (England):</w:t>
      </w:r>
      <w:r w:rsidDel="00000000" w:rsidR="00000000" w:rsidRPr="00000000">
        <w:rPr>
          <w:sz w:val="26"/>
          <w:szCs w:val="26"/>
          <w:rtl w:val="0"/>
        </w:rPr>
        <w:t xml:space="preserve"> 2024 </w:t>
      </w:r>
      <w:r w:rsidDel="00000000" w:rsidR="00000000" w:rsidRPr="00000000">
        <w:rPr>
          <w:b w:val="1"/>
          <w:sz w:val="26"/>
          <w:szCs w:val="26"/>
          <w:rtl w:val="0"/>
        </w:rPr>
        <w:t xml:space="preserve">DfE guidance on mobile phones</w:t>
      </w:r>
      <w:r w:rsidDel="00000000" w:rsidR="00000000" w:rsidRPr="00000000">
        <w:rPr>
          <w:sz w:val="26"/>
          <w:szCs w:val="26"/>
          <w:rtl w:val="0"/>
        </w:rPr>
        <w:t xml:space="preserve"> in schools; pragmatic notes on generative AI use in education.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United States:</w:t>
      </w:r>
      <w:r w:rsidDel="00000000" w:rsidR="00000000" w:rsidRPr="00000000">
        <w:rPr>
          <w:sz w:val="26"/>
          <w:szCs w:val="26"/>
          <w:rtl w:val="0"/>
        </w:rPr>
        <w:t xml:space="preserve"> Federal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“AI and the Future of Teaching and Learning”</w:t>
      </w:r>
      <w:r w:rsidDel="00000000" w:rsidR="00000000" w:rsidRPr="00000000">
        <w:rPr>
          <w:sz w:val="26"/>
          <w:szCs w:val="26"/>
          <w:rtl w:val="0"/>
        </w:rPr>
        <w:t xml:space="preserve"> guidance (Office of Ed Tech, 2023); FY2025 budget summary priorities; widespread momentum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state phone restrictions</w:t>
      </w:r>
      <w:r w:rsidDel="00000000" w:rsidR="00000000" w:rsidRPr="00000000">
        <w:rPr>
          <w:sz w:val="26"/>
          <w:szCs w:val="26"/>
          <w:rtl w:val="0"/>
        </w:rPr>
        <w:t xml:space="preserve"> in schools. (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U.S. Department of Education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31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Campus Safety Magazine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want this tailored to a specific audience (e.g., policymaker brief vs. parent-facing explainer) or expanded to another set of countries, say the word and I’ll adapt it.</w:t>
      </w:r>
    </w:p>
    <w:p w:rsidR="00000000" w:rsidDel="00000000" w:rsidP="00000000" w:rsidRDefault="00000000" w:rsidRPr="00000000" w14:paraId="000000D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pseducation.oecd.org/CountryProfile?primaryCountry=EST&amp;topic=EO&amp;treshold=10&amp;utm_source=chatgpt.com" TargetMode="External"/><Relationship Id="rId22" Type="http://schemas.openxmlformats.org/officeDocument/2006/relationships/hyperlink" Target="https://hm.ee/sites/default/files/documents/2024-09/Key%20activities%20in%20the%20academic%20year%202024_25.pdf?utm_source=chatgpt.com" TargetMode="External"/><Relationship Id="rId21" Type="http://schemas.openxmlformats.org/officeDocument/2006/relationships/hyperlink" Target="https://gpseducation.oecd.org/CountryProfile?primaryCountry=EST&amp;topic=EO&amp;treshold=10&amp;utm_source=chatgpt.com" TargetMode="External"/><Relationship Id="rId24" Type="http://schemas.openxmlformats.org/officeDocument/2006/relationships/hyperlink" Target="https://www.oph.fi/en/education-and-qualifications/multiliteracy-and-media-literacy?utm_source=chatgpt.com" TargetMode="External"/><Relationship Id="rId23" Type="http://schemas.openxmlformats.org/officeDocument/2006/relationships/hyperlink" Target="https://hm.ee/sites/default/files/documents/2024-09/Key%20activities%20in%20the%20academic%20year%202024_25.pdf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j.jp/en/about/release/detail/1117?utm_source=chatgpt.com" TargetMode="External"/><Relationship Id="rId26" Type="http://schemas.openxmlformats.org/officeDocument/2006/relationships/hyperlink" Target="https://toolbox.finland.fi/wp-content/uploads/sites/2/2024/03/media-literacy-and-education-in-finland.pdf?utm_source=chatgpt.com" TargetMode="External"/><Relationship Id="rId25" Type="http://schemas.openxmlformats.org/officeDocument/2006/relationships/hyperlink" Target="https://toolbox.finland.fi/wp-content/uploads/sites/2/2024/03/media-literacy-and-education-in-finland.pdf?utm_source=chatgpt.com" TargetMode="External"/><Relationship Id="rId28" Type="http://schemas.openxmlformats.org/officeDocument/2006/relationships/hyperlink" Target="https://michaelparsampp.ca/ontario-increasing-funding-to-boost-reading-writing-and-math/?utm_source=chatgpt.com" TargetMode="External"/><Relationship Id="rId27" Type="http://schemas.openxmlformats.org/officeDocument/2006/relationships/hyperlink" Target="https://www.researchgate.net/publication/378770055_Measuring_Up_Canadian_Results_of_the_OECD_Programme_for_International_Student_Assessment_PISA_2022_Study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.gov/sites/ed/files/documents/ai-report/ai-report.pdf?utm_source=chatgpt.com" TargetMode="External"/><Relationship Id="rId29" Type="http://schemas.openxmlformats.org/officeDocument/2006/relationships/hyperlink" Target="https://michaelparsampp.ca/ontario-increasing-funding-to-boost-reading-writing-and-math/?utm_source=chatgpt.com" TargetMode="External"/><Relationship Id="rId7" Type="http://schemas.openxmlformats.org/officeDocument/2006/relationships/hyperlink" Target="https://www.digital.go.jp/en/news/f583208e-ba7a-4e60-b904-cf742f143194?utm_source=chatgpt.com" TargetMode="External"/><Relationship Id="rId8" Type="http://schemas.openxmlformats.org/officeDocument/2006/relationships/hyperlink" Target="https://www.daj.jp/en/about/release/detail/1117?utm_source=chatgpt.com" TargetMode="External"/><Relationship Id="rId31" Type="http://schemas.openxmlformats.org/officeDocument/2006/relationships/hyperlink" Target="https://www.campussafetymagazine.com/insights/which-states-have-banned-cell-phones-in-schools/161286/?utm_source=chatgpt.com" TargetMode="External"/><Relationship Id="rId30" Type="http://schemas.openxmlformats.org/officeDocument/2006/relationships/hyperlink" Target="https://www.ed.gov/sites/ed/files/documents/ai-report/ai-report.pdf?utm_source=chatgpt.com" TargetMode="External"/><Relationship Id="rId11" Type="http://schemas.openxmlformats.org/officeDocument/2006/relationships/hyperlink" Target="https://www.mext.go.jp/content/20220914-mxt_kokusai-000025012_2Itakura.pdf?utm_source=chatgpt.com" TargetMode="External"/><Relationship Id="rId10" Type="http://schemas.openxmlformats.org/officeDocument/2006/relationships/hyperlink" Target="https://www.mext.go.jp/content/20220914-mxt_kokusai-000025012_2Itakura.pdf?utm_source=chatgpt.com" TargetMode="External"/><Relationship Id="rId32" Type="http://schemas.openxmlformats.org/officeDocument/2006/relationships/hyperlink" Target="https://www.campussafetymagazine.com/insights/which-states-have-banned-cell-phones-in-schools/161286/?utm_source=chatgpt.com" TargetMode="External"/><Relationship Id="rId13" Type="http://schemas.openxmlformats.org/officeDocument/2006/relationships/hyperlink" Target="https://www.moe.go.kr/boardCnts/fileDown.do?fileSeq=c42376d747351bf8e8a3fa800f7a7611&amp;m=0201&amp;s=english&amp;utm_source=chatgpt.com" TargetMode="External"/><Relationship Id="rId12" Type="http://schemas.openxmlformats.org/officeDocument/2006/relationships/hyperlink" Target="https://english.moe.go.kr/boardCnts/viewRenewal.do?boardID=254&amp;boardSeq=95291&amp;lev=0&amp;m=0202&amp;opType=N&amp;page=2&amp;s=english&amp;utm_source=chatgpt.com" TargetMode="External"/><Relationship Id="rId15" Type="http://schemas.openxmlformats.org/officeDocument/2006/relationships/hyperlink" Target="https://blogs.worldbank.org/en/education/teachers-are-leading-an-ai-revolution-in-korean-classrooms?utm_source=chatgpt.com" TargetMode="External"/><Relationship Id="rId14" Type="http://schemas.openxmlformats.org/officeDocument/2006/relationships/hyperlink" Target="https://www.moe.go.kr/boardCnts/fileDown.do?fileSeq=c42376d747351bf8e8a3fa800f7a7611&amp;m=0201&amp;s=english&amp;utm_source=chatgpt.com" TargetMode="External"/><Relationship Id="rId17" Type="http://schemas.openxmlformats.org/officeDocument/2006/relationships/hyperlink" Target="https://www.ft.com/content/1f5c5377-5e85-4174-a54f-adc8f19fa5cb?utm_source=chatgpt.com" TargetMode="External"/><Relationship Id="rId16" Type="http://schemas.openxmlformats.org/officeDocument/2006/relationships/hyperlink" Target="https://blogs.worldbank.org/en/education/teachers-are-leading-an-ai-revolution-in-korean-classrooms?utm_source=chatgpt.com" TargetMode="External"/><Relationship Id="rId19" Type="http://schemas.openxmlformats.org/officeDocument/2006/relationships/hyperlink" Target="https://op.europa.eu/webpub/eac/education-and-training-monitor/en/country-reports/estonia.html?utm_source=chatgpt.com" TargetMode="External"/><Relationship Id="rId18" Type="http://schemas.openxmlformats.org/officeDocument/2006/relationships/hyperlink" Target="https://www.ft.com/content/1f5c5377-5e85-4174-a54f-adc8f19fa5cb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