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DunongAI</w:t>
      </w:r>
    </w:p>
    <w:p>
      <w:pPr>
        <w:spacing w:after="40"/>
      </w:pPr>
      <w:r>
        <w:rPr>
          <w:b/>
          <w:bCs/>
          <w:color w:val="2E5496"/>
          <w:sz w:val="30"/>
          <w:szCs w:val="30"/>
        </w:rPr>
        <w:t xml:space="preserve">Financial Plan — Year 1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An AI-Powered Adaptive Reading Companion for Philippine Public Schools</w:t>
      </w:r>
    </w:p>
    <w:p>
      <w:pPr>
        <w:pBdr>
          <w:bottom w:val="single" w:color="2E5496" w:sz="6" w:space="4"/>
        </w:pBdr>
        <w:spacing w:after="200"/>
      </w:pPr>
      <w:r>
        <w:rPr>
          <w:color w:val="595959"/>
          <w:sz w:val="18"/>
          <w:szCs w:val="18"/>
        </w:rPr>
        <w:t xml:space="preserve">Narrative summary accompanying the financial model workbook  •  All figures in Philippine Pesos (₱)</w:t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sz w:val="22"/>
          <w:szCs w:val="22"/>
        </w:rPr>
        <w:t xml:space="preserve">DunongAI is a free-to-student, web-based AI reading tutor for K–6 learners in Philippine public schools. Because the core product is free for its primary beneficiaries, Year 1 is deliberately a build-and-prove year funded by non-dilutive grants and a modest pre-seed round, while two commercial revenue lines — a parent freemium subscription and an institutional DepEd license — begin to ramp in the second half of the year.</w:t>
      </w:r>
    </w:p>
    <w:p>
      <w:pPr>
        <w:spacing w:after="120" w:line="276"/>
      </w:pPr>
      <w:r>
        <w:rPr>
          <w:sz w:val="22"/>
          <w:szCs w:val="22"/>
        </w:rPr>
        <w:t xml:space="preserve">In Year 1 the model projects total revenue of </w:t>
      </w:r>
      <w:r>
        <w:rPr>
          <w:b/>
          <w:bCs/>
          <w:sz w:val="22"/>
          <w:szCs w:val="22"/>
        </w:rPr>
        <w:t xml:space="preserve">₱1,126,800</w:t>
      </w:r>
      <w:r>
        <w:rPr>
          <w:sz w:val="22"/>
          <w:szCs w:val="22"/>
        </w:rPr>
        <w:t xml:space="preserve"> (₱316,800 parent subscriptions, ₱10,000 recognized DepEd license, and ₱800,000 in grant income), against total operating costs that produce a net loss of </w:t>
      </w:r>
      <w:r>
        <w:rPr>
          <w:b/>
          <w:bCs/>
          <w:color w:val="C00000"/>
          <w:sz w:val="22"/>
          <w:szCs w:val="22"/>
        </w:rPr>
        <w:t xml:space="preserve">(₱553,484)</w:t>
      </w:r>
      <w:r>
        <w:rPr>
          <w:sz w:val="22"/>
          <w:szCs w:val="22"/>
        </w:rPr>
        <w:t xml:space="preserve">. The business is fully funded through the year, ending with </w:t>
      </w:r>
      <w:r>
        <w:rPr>
          <w:b/>
          <w:bCs/>
          <w:sz w:val="22"/>
          <w:szCs w:val="22"/>
        </w:rPr>
        <w:t xml:space="preserve">₱676,516</w:t>
      </w:r>
      <w:r>
        <w:rPr>
          <w:sz w:val="22"/>
          <w:szCs w:val="22"/>
        </w:rPr>
        <w:t xml:space="preserve"> in cash and never dipping below ₱553,000.</w:t>
      </w:r>
    </w:p>
    <w:p>
      <w:pPr>
        <w:spacing w:after="120" w:line="276"/>
      </w:pPr>
      <w:r>
        <w:rPr>
          <w:sz w:val="22"/>
          <w:szCs w:val="22"/>
        </w:rPr>
        <w:t xml:space="preserve">The model validates the central economic thesis from the strategy work: AI delivery cost is near-zero. Total AI inference cost (Claude Haiku) for the whole year is only ₱48,480 even as the platform scales to 16,000 active learners, so gross margin runs above 88%. The real cost driver is people — salaries and program/compliance work — which is exactly what grant and seed funding is meant to cover during a pilot year.</w:t>
      </w:r>
    </w:p>
    <w:p>
      <w:pPr>
        <w:pStyle w:val="Heading1"/>
      </w:pPr>
      <w:r>
        <w:t xml:space="preserve">2. Business &amp; Revenue Model</w:t>
      </w:r>
    </w:p>
    <w:p>
      <w:pPr>
        <w:spacing w:after="120" w:line="276"/>
      </w:pPr>
      <w:r>
        <w:rPr>
          <w:sz w:val="22"/>
          <w:szCs w:val="22"/>
        </w:rPr>
        <w:t xml:space="preserve">DunongAI follows a cross-subsidy / freemium model: paying segments fund free access for public-school learners. Three revenue streams are modeled in Year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Parent freemium subscription — ₱99/month for unlimited stories, sold to Metro Manila private-school parents. Soft-launches in Q3 and ramps to ~1,010 paying parents (≈₱100K monthly recurring revenue) by Month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DepEd institutional license — ₱8 per learner per year, billed annually upfront to a school division (5,000 learners from Month 10). Recognized over 12 months, creating deferred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Grant funding (non-dilutive) — DOST PCIEERD and USAID ABC+ tranches of ₱400,000 each, funding the efficacy study and content pipeline.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Public-school students are never charged. </w:t>
      </w:r>
      <w:r>
        <w:rPr>
          <w:sz w:val="22"/>
          <w:szCs w:val="22"/>
        </w:rPr>
        <w:t xml:space="preserve">Cost of service is dominated by AI inference (₱0.08/session) and a one-time content pipeline that builds the leveled-story library at ≤₱400/story — both structurally small relative to revenue.</w:t>
      </w:r>
    </w:p>
    <w:p>
      <w:pPr>
        <w:pStyle w:val="Heading1"/>
      </w:pPr>
      <w:r>
        <w:t xml:space="preserve">3. Key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 subscription price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₱99 / month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DepEd institutional license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₱8 / learner / year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inference cost (Claude Haiku)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₱0.08 / session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Avg reading sessions / active learner / month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 development cost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₱400 / leveled story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Percentage / business tax (PH non-VAT)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3% of commercial revenue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Founders' + pre-seed capital (Month 1)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₱1,500,000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Capitalized platform development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₱300,000 (amortized 36 mo.)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Equipment capex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₱150,000 (depreciated 36 mo.)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learners by Month 12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16,000</w:t>
            </w:r>
          </w:p>
        </w:tc>
      </w:tr>
    </w:tbl>
    <w:p>
      <w:pPr>
        <w:spacing w:after="120" w:line="276"/>
      </w:pPr>
      <w:r>
        <w:rPr>
          <w:b/>
          <w:bCs/>
          <w:color w:val="595959"/>
          <w:sz w:val="18"/>
          <w:szCs w:val="18"/>
        </w:rPr>
        <w:t xml:space="preserve">Note: </w:t>
      </w:r>
      <w:r>
        <w:rPr>
          <w:i/>
          <w:iCs/>
          <w:color w:val="595959"/>
          <w:sz w:val="18"/>
          <w:szCs w:val="18"/>
        </w:rPr>
        <w:t xml:space="preserve">every assumption above is an editable (blue) input in the workbook — changing it recalculates all three statements.</w:t>
      </w:r>
    </w:p>
    <w:p>
      <w:pPr>
        <w:pStyle w:val="Heading1"/>
        <w:pageBreakBefore/>
      </w:pPr>
      <w:r>
        <w:t xml:space="preserve">4. Income Statement (Quarterly Summary)</w:t>
      </w:r>
    </w:p>
    <w:p>
      <w:pPr>
        <w:spacing w:after="120" w:line="276"/>
      </w:pPr>
      <w:r>
        <w:rPr>
          <w:sz w:val="22"/>
          <w:szCs w:val="22"/>
        </w:rPr>
        <w:t xml:space="preserve">The income statement shows revenues, cost of goods sold, operating expenses, and the resulting profit or loss. Quarter 1 is pre-revenue (pilot only); commercial revenue and grants arrive from Q2 onward.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28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₱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 subscriptions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₱78,210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₱238,590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₱316,800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DepEd license (recognized)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₱10,000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₱10,000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Grant income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₱400,000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₱400,000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₱800,000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₱400,000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₱478,210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₱248,590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₱1,126,800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(₱52,760)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(₱14,520)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(₱17,600)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(₱39,600)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(₱124,480)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(₱52,760)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₱385,480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₱460,610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₱208,990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₱1,002,320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Operating expenses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(₱375,000)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(₱293,000)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(₱449,000)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(₱429,000)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(₱1,546,000)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Net Profit / (Loss)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(₱427,760)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₱92,480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₱9,264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(₱227,468)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(₱553,484)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Full-year gross margin is </w:t>
      </w:r>
      <w:r>
        <w:rPr>
          <w:b/>
          <w:bCs/>
          <w:sz w:val="22"/>
          <w:szCs w:val="22"/>
        </w:rPr>
        <w:t xml:space="preserve">88.9%</w:t>
      </w:r>
      <w:r>
        <w:rPr>
          <w:sz w:val="22"/>
          <w:szCs w:val="22"/>
        </w:rPr>
        <w:t xml:space="preserve">; the Year-1 net loss of </w:t>
      </w:r>
      <w:r>
        <w:rPr>
          <w:b/>
          <w:bCs/>
          <w:color w:val="C00000"/>
          <w:sz w:val="22"/>
          <w:szCs w:val="22"/>
        </w:rPr>
        <w:t xml:space="preserve">(₱553,484)</w:t>
      </w:r>
      <w:r>
        <w:rPr>
          <w:sz w:val="22"/>
          <w:szCs w:val="22"/>
        </w:rPr>
        <w:t xml:space="preserve"> reflects the deliberate investment in salaries, the pilot, content, and compliance ahead of monetization — standard for a grant-funded social enterprise in its first year.</w:t>
      </w:r>
    </w:p>
    <w:p>
      <w:pPr>
        <w:pStyle w:val="Heading1"/>
      </w:pPr>
      <w:r>
        <w:t xml:space="preserve">5. Cash Flow (Quarterly Summary)</w:t>
      </w:r>
    </w:p>
    <w:p>
      <w:pPr>
        <w:spacing w:after="120" w:line="276"/>
      </w:pPr>
      <w:r>
        <w:rPr>
          <w:sz w:val="22"/>
          <w:szCs w:val="22"/>
        </w:rPr>
        <w:t xml:space="preserve">Cash flow tracks actual money in and out. The ₱1.5M capital injection and ₱450,000 of Month-1 capex (equipment + capitalized platform) dominate Q1; grant receipts in Q2 and Q3 replenish the runway.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Cash position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Q1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Q2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Q3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Q4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Closing cash balance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₱659,740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₱789,720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₱836,484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₱676,516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Cash remains positive in every month of the year, with the lowest point (₱553,851) in Month 8 before the second grant tranche. The Q4 seed round (modeled separately) would extend runway into Year 2.</w:t>
      </w:r>
    </w:p>
    <w:p>
      <w:pPr>
        <w:pStyle w:val="Heading1"/>
      </w:pPr>
      <w:r>
        <w:t xml:space="preserve">6. Balance Sheet (Year-End Position)</w:t>
      </w:r>
    </w:p>
    <w:p>
      <w:pPr>
        <w:spacing w:after="120" w:line="276"/>
      </w:pPr>
      <w:r>
        <w:rPr>
          <w:sz w:val="22"/>
          <w:szCs w:val="22"/>
        </w:rPr>
        <w:t xml:space="preserve">The balance sheet confirms the model is internally consistent: assets equal liabilities plus equity in every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 of end of Month 12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₱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ASSETS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 Cash &amp; cash equivalents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₱676,516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 Equipment, net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₱100,000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 Platform development, net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₱200,000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Assets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₱976,516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LIABILITIES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 Deferred revenue (DepEd unearned)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₱30,000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Liabilities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₱30,000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EQUITY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 Paid-in capital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₱1,500,000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 Retained earnings / (accumulated deficit)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(₱553,484)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Equity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₱946,516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Liabilities &amp; Equity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₱976,516</w:t>
            </w:r>
          </w:p>
        </w:tc>
      </w:tr>
    </w:tbl>
    <w:p>
      <w:pPr>
        <w:pStyle w:val="Heading1"/>
      </w:pPr>
      <w:r>
        <w:t xml:space="preserve">7. Key Takeaways &amp; Funding Needs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Year 1 is intentionally loss-making (₱553K) — a funded runway to prove efficacy, not a profit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Unit economics are exceptional: ~89% gross margin and total annual AI cost under ₱50,000, confirming AI tutoring is economically viable for free public-school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₱1.5M pre-seed plus ₱800K in grants fully funds the year with a comfortable cash buffer.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Parent subscriptions reach ~₱100K MRR by Month 12, establishing the recurring-revenue engine for Year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 reach sustainability, the model points to scaling the parent tier toward the ₱2M ARR diversification floor and converting the DepEd pilot into volume licensing in Year 2 — supported by a Q4 seed round.</w:t>
      </w:r>
    </w:p>
    <w:p>
      <w:pPr>
        <w:spacing w:after="120" w:line="276"/>
      </w:pPr>
      <w:r>
        <w:rPr>
          <w:color w:val="595959"/>
          <w:sz w:val="20"/>
          <w:szCs w:val="20"/>
        </w:rPr>
        <w:t xml:space="preserve">For the complete month-by-month detail and editable assumptions, see the accompanying workbook </w:t>
      </w:r>
      <w:r>
        <w:rPr>
          <w:b/>
          <w:bCs/>
          <w:color w:val="595959"/>
          <w:sz w:val="20"/>
          <w:szCs w:val="20"/>
        </w:rPr>
        <w:t xml:space="preserve">DunongAI_Financial_Plan_Year1.xlsx</w:t>
      </w:r>
      <w:r>
        <w:rPr>
          <w:color w:val="595959"/>
          <w:sz w:val="20"/>
          <w:szCs w:val="20"/>
        </w:rP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DunongAI — Financial Plan, Year 1   •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2026-06-20T10:40:05.009Z</dcterms:created>
  <dcterms:modified xsi:type="dcterms:W3CDTF">2026-06-20T10:40:05.009Z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