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400"/>
        <w:jc w:val="center"/>
      </w:pPr>
      <w:r>
        <w:rPr>
          <w:rFonts w:ascii="Calibri" w:hAnsi="Calibri"/>
          <w:b/>
          <w:color w:val="C8942D"/>
          <w:sz w:val="22"/>
        </w:rPr>
        <w:t>PRODUCT REQUIREMENTS DOCUMENT</w:t>
      </w:r>
    </w:p>
    <w:p>
      <w:pPr>
        <w:pStyle w:val="Title"/>
        <w:jc w:val="center"/>
      </w:pPr>
      <w:r>
        <w:t>ScopeIs Team Management System</w:t>
      </w:r>
    </w:p>
    <w:p>
      <w:pPr>
        <w:pStyle w:val="Subtitle"/>
        <w:jc w:val="center"/>
      </w:pPr>
      <w:r>
        <w:t>Workforce planning, scheduling, skills, leave, coverage, replacements, and operations</w:t>
      </w:r>
    </w:p>
    <w:p>
      <w:pPr>
        <w:spacing w:before="440" w:after="360"/>
        <w:jc w:val="center"/>
      </w:pPr>
      <w:r>
        <w:rPr>
          <w:rFonts w:ascii="Calibri" w:hAnsi="Calibri"/>
          <w:b/>
          <w:color w:val="2A7F8E"/>
          <w:sz w:val="20"/>
        </w:rPr>
        <w:t>WORKFORCE PLANNING • SCHEDULING • COVERAGE • OPERATIONS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2300"/>
        <w:gridCol w:w="7060"/>
      </w:tblGrid>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Document status</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Documentation baseline</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Version</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1.0</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Issued</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26 August 2026</w:t>
            </w:r>
          </w:p>
        </w:tc>
      </w:tr>
      <w:tr>
        <w:tc>
          <w:tcPr>
            <w:tcW w:type="dxa" w:w="2300"/>
            <w:tcMar>
              <w:top w:w="80" w:type="dxa"/>
              <w:start w:w="120" w:type="dxa"/>
              <w:bottom w:w="80" w:type="dxa"/>
              <w:end w:w="120" w:type="dxa"/>
            </w:tcMar>
            <w:vAlign w:val="center"/>
            <w:shd w:fill="EAF2F6"/>
          </w:tcPr>
          <w:p>
            <w:pPr>
              <w:spacing w:before="0" w:after="40" w:line="240" w:lineRule="auto"/>
            </w:pPr>
            <w:r>
              <w:rPr>
                <w:rFonts w:ascii="Calibri" w:hAnsi="Calibri"/>
                <w:b/>
                <w:color w:val="24313A"/>
                <w:sz w:val="18"/>
              </w:rPr>
              <w:t>Project stage</w:t>
            </w:r>
          </w:p>
        </w:tc>
        <w:tc>
          <w:tcPr>
            <w:tcW w:type="dxa" w:w="7060"/>
            <w:tcMar>
              <w:top w:w="80" w:type="dxa"/>
              <w:start w:w="120" w:type="dxa"/>
              <w:bottom w:w="80" w:type="dxa"/>
              <w:end w:w="120" w:type="dxa"/>
            </w:tcMar>
            <w:vAlign w:val="center"/>
          </w:tcPr>
          <w:p>
            <w:pPr>
              <w:spacing w:before="0" w:after="40" w:line="240" w:lineRule="auto"/>
            </w:pPr>
            <w:r>
              <w:rPr>
                <w:rFonts w:ascii="Calibri" w:hAnsi="Calibri"/>
                <w:b w:val="0"/>
                <w:color w:val="24313A"/>
                <w:sz w:val="18"/>
              </w:rPr>
              <w:t>Foundation and documentation only</w:t>
            </w:r>
          </w:p>
        </w:tc>
      </w:tr>
    </w:tbl>
    <w:p>
      <w:pPr>
        <w:spacing w:before="560"/>
        <w:jc w:val="center"/>
      </w:pPr>
      <w:r>
        <w:rPr>
          <w:rFonts w:ascii="Calibri" w:hAnsi="Calibri"/>
          <w:b w:val="0"/>
          <w:i/>
          <w:color w:val="63727D"/>
          <w:sz w:val="20"/>
        </w:rPr>
        <w:t>Canonical project reference • No application implementation</w:t>
      </w:r>
    </w:p>
    <w:p>
      <w:r>
        <w:br w:type="page"/>
      </w:r>
    </w:p>
    <w:p>
      <w:pPr>
        <w:pStyle w:val="Heading1"/>
        <w:keepNext/>
        <w:widowControl/>
      </w:pPr>
      <w:r>
        <w:t>Table of Contents</w:t>
      </w:r>
    </w:p>
    <w:tbl>
      <w:tblPr>
        <w:tblW w:type="dxa" w:w="9360"/>
        <w:tblLayout w:type="fixed"/>
        <w:tblLook w:firstColumn="1" w:firstRow="1" w:lastColumn="0" w:lastRow="0" w:noHBand="0" w:noVBand="1" w:val="04A0"/>
        <w:jc w:val="left"/>
        <w:tblInd w:w="120" w:type="dxa"/>
        <w:tblBorders>
          <w:top w:val="nil"/>
          <w:left w:val="nil"/>
          <w:bottom w:val="nil"/>
          <w:right w:val="nil"/>
          <w:insideH w:val="nil"/>
          <w:insideV w:val="nil"/>
        </w:tblBorders>
      </w:tblPr>
      <w:tblGrid>
        <w:gridCol w:w="8600"/>
        <w:gridCol w:w="760"/>
      </w:tblGrid>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 Document Status and Version</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 Executive Summary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3. Business Problem</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4. Product Purpose</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5. Goals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6. Non-Goals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4</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7. Users and Personas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4</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8. Role Overview</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4</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9. Employee Profiles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5</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10. Skills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5</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11. Certifications and Portfolio</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5</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12. Assignment Arrangements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5</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13. Clients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14. Projects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15. Locations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16. Scheduling</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6</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17. Static Planning Map</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7</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18. Leave Management</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7</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19. Coverage and Replacements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20. Notes and Communication</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8</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21. Notifications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22. Dashboards and Principal Screens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23. Ticket System Future Integration</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9</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24. Functional Requirements Cross-Reference</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10</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25. Permission Requirements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10</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26. Privacy and Security Expectations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11</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27. Non-Functional Expectations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12</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28. Confirmed Implementation Roadmap</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12</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29. Open Decisions</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13</w:t>
            </w:r>
          </w:p>
        </w:tc>
      </w:tr>
      <w:tr>
        <w:tc>
          <w:tcPr>
            <w:tcW w:type="dxa" w:w="8600"/>
            <w:tcMar>
              <w:top w:w="20" w:type="dxa"/>
              <w:start w:w="20" w:type="dxa"/>
              <w:bottom w:w="20" w:type="dxa"/>
              <w:end w:w="20" w:type="dxa"/>
            </w:tcMar>
          </w:tcPr>
          <w:p>
            <w:pPr>
              <w:spacing w:before="0" w:after="0" w:line="240" w:lineRule="auto"/>
              <w:jc w:val="left"/>
            </w:pPr>
            <w:r>
              <w:rPr>
                <w:rFonts w:ascii="Calibri" w:hAnsi="Calibri"/>
                <w:b w:val="0"/>
                <w:color w:val="24313A"/>
                <w:sz w:val="17"/>
              </w:rPr>
              <w:t>30. Glossary</w:t>
            </w:r>
          </w:p>
        </w:tc>
        <w:tc>
          <w:tcPr>
            <w:tcW w:type="dxa" w:w="760"/>
            <w:tcMar>
              <w:top w:w="20" w:type="dxa"/>
              <w:start w:w="20" w:type="dxa"/>
              <w:bottom w:w="20" w:type="dxa"/>
              <w:end w:w="20" w:type="dxa"/>
            </w:tcMar>
          </w:tcPr>
          <w:p>
            <w:pPr>
              <w:spacing w:before="0" w:after="0" w:line="240" w:lineRule="auto"/>
              <w:jc w:val="right"/>
            </w:pPr>
            <w:r>
              <w:rPr>
                <w:rFonts w:ascii="Calibri" w:hAnsi="Calibri"/>
                <w:b w:val="0"/>
                <w:color w:val="24313A"/>
                <w:sz w:val="17"/>
              </w:rPr>
              <w:t>13</w:t>
            </w:r>
          </w:p>
        </w:tc>
      </w:tr>
    </w:tbl>
    <w:p>
      <w:r>
        <w:br w:type="page"/>
      </w:r>
    </w:p>
    <w:p>
      <w:pPr>
        <w:pStyle w:val="Heading1"/>
      </w:pPr>
      <w:r>
        <w:t>1. Document Status and Version</w:t>
      </w:r>
    </w:p>
    <w:p>
      <w:r>
        <w:t>Version 1.0 is the documentation baseline for the foundation phase. Confirmed requirements are test-oriented; open decisions are explicitly separated and must not be implemented as assumptions.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9360"/>
      </w:tblGrid>
      <w:tr>
        <w:tc>
          <w:tcPr>
            <w:tcW w:type="dxa" w:w="9360"/>
            <w:shd w:fill="EAF2F6"/>
            <w:tcMar>
              <w:top w:w="80" w:type="dxa"/>
              <w:start w:w="120" w:type="dxa"/>
              <w:bottom w:w="80" w:type="dxa"/>
              <w:end w:w="120" w:type="dxa"/>
            </w:tcMar>
            <w:vAlign w:val="center"/>
          </w:tcPr>
          <w:p>
            <w:pPr>
              <w:spacing w:before="0" w:after="40" w:line="240" w:lineRule="auto"/>
            </w:pPr>
            <w:r>
              <w:rPr>
                <w:rFonts w:ascii="Calibri" w:hAnsi="Calibri"/>
                <w:b/>
                <w:color w:val="24313A"/>
                <w:sz w:val="21"/>
              </w:rPr>
              <w:t xml:space="preserve">Authority: </w:t>
            </w:r>
            <w:r>
              <w:rPr>
                <w:rFonts w:ascii="Calibri" w:hAnsi="Calibri"/>
                <w:b w:val="0"/>
                <w:color w:val="24313A"/>
                <w:sz w:val="21"/>
              </w:rPr>
              <w:t>Canonical Markdown project memory and these Word documents govern future implementation until a confirmed change updates the relevant references.</w:t>
            </w:r>
          </w:p>
        </w:tc>
      </w:tr>
    </w:tbl>
    <w:p>
      <w:pPr>
        <w:spacing w:after="0"/>
      </w:pPr>
    </w:p>
    <w:p>
      <w:pPr>
        <w:pStyle w:val="Heading1"/>
      </w:pPr>
      <w:r>
        <w:t>2. Executive Summary</w:t>
      </w:r>
    </w:p>
    <w:p>
      <w:r>
        <w:t>ScopeIs will give a 15-20-person internal engineering team one planning view of employee capabilities, assignments, future availability, clients, projects, locations, leave, coverage, and replacement options. It preserves manager authority while giving scoped Admins practical planning tools and Employees clear access to published work.</w:t>
      </w:r>
    </w:p>
    <w:p>
      <w:pPr>
        <w:pStyle w:val="Heading1"/>
      </w:pPr>
      <w:r>
        <w:t>3. Business Problem</w:t>
      </w:r>
    </w:p>
    <w:p>
      <w:r>
        <w:t>The company cannot easily answer who is working where, what skills are available, how future months are staffed, or whether leave and schedule changes create a coverage gap. Scarce specialties - such as software development, networking, CCTV, cooling, or air conditioning - make forward visibility and qualified replacement planning essential.</w:t>
      </w:r>
    </w:p>
    <w:p>
      <w:pPr>
        <w:pStyle w:val="Heading1"/>
      </w:pPr>
      <w:r>
        <w:t>4. Product Purpose</w:t>
      </w:r>
    </w:p>
    <w:p>
      <w:r>
        <w:t>The product is a workforce planning, scheduling, employee availability, skills, client, project, leave, coverage, replacement, and operational management system. All employees remain internal; a client placement is an assignment arrangement, not an employment category.</w:t>
      </w:r>
    </w:p>
    <w:p>
      <w:pPr>
        <w:pStyle w:val="Heading1"/>
      </w:pPr>
      <w:r>
        <w:t>5. Goals</w:t>
      </w:r>
    </w:p>
    <w:p>
      <w:r>
        <w:t>The first product direction is intended to:</w:t>
      </w:r>
    </w:p>
    <w:p>
      <w:pPr>
        <w:pStyle w:val="ListBullet"/>
      </w:pPr>
      <w:r>
        <w:t>Create a dependable forward plan across weeks and months.</w:t>
      </w:r>
    </w:p>
    <w:p>
      <w:pPr>
        <w:pStyle w:val="ListBullet"/>
      </w:pPr>
      <w:r>
        <w:t>Make skills, certifications, assignments, and availability searchable.</w:t>
      </w:r>
    </w:p>
    <w:p>
      <w:pPr>
        <w:pStyle w:val="ListBullet"/>
      </w:pPr>
      <w:r>
        <w:t>Keep schedule publication and leave authority with the Super Admin/team manager.</w:t>
      </w:r>
    </w:p>
    <w:p>
      <w:pPr>
        <w:pStyle w:val="ListBullet"/>
      </w:pPr>
      <w:r>
        <w:t>Expose coverage gaps and qualified replacement candidates without making automatic final decisions.</w:t>
      </w:r>
    </w:p>
    <w:p>
      <w:pPr>
        <w:pStyle w:val="ListBullet"/>
      </w:pPr>
      <w:r>
        <w:t>Provide privacy-respecting work communication, notifications, auditability, and a static planning map.</w:t>
      </w:r>
    </w:p>
    <w:p>
      <w:pPr>
        <w:pStyle w:val="ListBullet"/>
      </w:pPr>
      <w:r>
        <w:t>Establish a stable workforce domain before integrating ticket functionality.</w:t>
      </w:r>
    </w:p>
    <w:p>
      <w:pPr>
        <w:pStyle w:val="Heading1"/>
      </w:pPr>
      <w:r>
        <w:t>6. Non-Goals</w:t>
      </w:r>
    </w:p>
    <w:p>
      <w:r>
        <w:t>The following are outside the first version unless later approved:</w:t>
      </w:r>
    </w:p>
    <w:p>
      <w:pPr>
        <w:pStyle w:val="ListBullet"/>
      </w:pPr>
      <w:r>
        <w:t>Live GPS tracking, movement history, route surveillance, or automatic route optimization.</w:t>
      </w:r>
    </w:p>
    <w:p>
      <w:pPr>
        <w:pStyle w:val="ListBullet"/>
      </w:pPr>
      <w:r>
        <w:t>Payroll, salary, accounting, biometric attendance, automatic timesheets, or complete HR.</w:t>
      </w:r>
    </w:p>
    <w:p>
      <w:pPr>
        <w:pStyle w:val="ListBullet"/>
      </w:pPr>
      <w:r>
        <w:t>Performance scoring, recruitment, disciplinary workflows, or AI-driven final management decisions.</w:t>
      </w:r>
    </w:p>
    <w:p>
      <w:pPr>
        <w:pStyle w:val="ListBullet"/>
      </w:pPr>
      <w:r>
        <w:t>Public registration, billing/subscriptions, multi-company SaaS tenancy, native mobile applications, or WhatsApp integration.</w:t>
      </w:r>
    </w:p>
    <w:p>
      <w:pPr>
        <w:pStyle w:val="Heading1"/>
      </w:pPr>
      <w:r>
        <w:t>7. Users and Personas</w:t>
      </w:r>
    </w:p>
    <w:p>
      <w:r>
        <w:t>Version 1 uses mock accounts and representative personas; documentation never embeds real passwords.</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1800"/>
        <w:gridCol w:w="2300"/>
        <w:gridCol w:w="1600"/>
        <w:gridCol w:w="3660"/>
      </w:tblGrid>
      <w:tr>
        <w:trPr>
          <w:tblHeader w:val="true"/>
        </w:trPr>
        <w:tc>
          <w:tcPr>
            <w:tcW w:type="dxa" w:w="18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Persona</w:t>
            </w:r>
          </w:p>
        </w:tc>
        <w:tc>
          <w:tcPr>
            <w:tcW w:type="dxa" w:w="23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Example designation</w:t>
            </w:r>
          </w:p>
        </w:tc>
        <w:tc>
          <w:tcPr>
            <w:tcW w:type="dxa" w:w="16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System role</w:t>
            </w:r>
          </w:p>
        </w:tc>
        <w:tc>
          <w:tcPr>
            <w:tcW w:type="dxa" w:w="366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Primary need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Team Manager</w:t>
            </w:r>
          </w:p>
        </w:tc>
        <w:tc>
          <w:tcPr>
            <w:tcW w:type="dxa" w:w="2300"/>
            <w:tcMar>
              <w:top w:w="80" w:type="dxa"/>
              <w:start w:w="120" w:type="dxa"/>
              <w:bottom w:w="80" w:type="dxa"/>
              <w:end w:w="120" w:type="dxa"/>
            </w:tcMar>
            <w:vAlign w:val="center"/>
          </w:tcPr>
          <w:p>
            <w:pPr>
              <w:spacing w:before="0" w:after="40" w:line="240" w:lineRule="auto"/>
            </w:pPr>
            <w:r>
              <w:rPr>
                <w:rFonts w:ascii="Calibri" w:hAnsi="Calibri"/>
                <w:color w:val="24313A"/>
                <w:sz w:val="17"/>
              </w:rPr>
              <w:t>Team Manager</w:t>
            </w:r>
          </w:p>
        </w:tc>
        <w:tc>
          <w:tcPr>
            <w:tcW w:type="dxa" w:w="1600"/>
            <w:tcMar>
              <w:top w:w="80" w:type="dxa"/>
              <w:start w:w="120" w:type="dxa"/>
              <w:bottom w:w="80" w:type="dxa"/>
              <w:end w:w="120" w:type="dxa"/>
            </w:tcMar>
            <w:vAlign w:val="center"/>
          </w:tcPr>
          <w:p>
            <w:pPr>
              <w:spacing w:before="0" w:after="40" w:line="240" w:lineRule="auto"/>
            </w:pPr>
            <w:r>
              <w:rPr>
                <w:rFonts w:ascii="Calibri" w:hAnsi="Calibri"/>
                <w:color w:val="24313A"/>
                <w:sz w:val="17"/>
              </w:rPr>
              <w:t>Super Admin</w:t>
            </w:r>
          </w:p>
        </w:tc>
        <w:tc>
          <w:tcPr>
            <w:tcW w:type="dxa" w:w="3660"/>
            <w:tcMar>
              <w:top w:w="80" w:type="dxa"/>
              <w:start w:w="120" w:type="dxa"/>
              <w:bottom w:w="80" w:type="dxa"/>
              <w:end w:w="120" w:type="dxa"/>
            </w:tcMar>
            <w:vAlign w:val="center"/>
          </w:tcPr>
          <w:p>
            <w:pPr>
              <w:spacing w:before="0" w:after="40" w:line="240" w:lineRule="auto"/>
            </w:pPr>
            <w:r>
              <w:rPr>
                <w:rFonts w:ascii="Calibri" w:hAnsi="Calibri"/>
                <w:color w:val="24313A"/>
                <w:sz w:val="17"/>
              </w:rPr>
              <w:t>Global plan, publication, leave, coverage authority</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Account Manager</w:t>
            </w:r>
          </w:p>
        </w:tc>
        <w:tc>
          <w:tcPr>
            <w:tcW w:type="dxa" w:w="2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Account Manager</w:t>
            </w:r>
          </w:p>
        </w:tc>
        <w:tc>
          <w:tcPr>
            <w:tcW w:type="dxa" w:w="16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Admin</w:t>
            </w:r>
          </w:p>
        </w:tc>
        <w:tc>
          <w:tcPr>
            <w:tcW w:type="dxa" w:w="36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Coordinate scoped client and propose staffing</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Team Senior</w:t>
            </w:r>
          </w:p>
        </w:tc>
        <w:tc>
          <w:tcPr>
            <w:tcW w:type="dxa" w:w="2300"/>
            <w:tcMar>
              <w:top w:w="80" w:type="dxa"/>
              <w:start w:w="120" w:type="dxa"/>
              <w:bottom w:w="80" w:type="dxa"/>
              <w:end w:w="120" w:type="dxa"/>
            </w:tcMar>
            <w:vAlign w:val="center"/>
          </w:tcPr>
          <w:p>
            <w:pPr>
              <w:spacing w:before="0" w:after="40" w:line="240" w:lineRule="auto"/>
            </w:pPr>
            <w:r>
              <w:rPr>
                <w:rFonts w:ascii="Calibri" w:hAnsi="Calibri"/>
                <w:color w:val="24313A"/>
                <w:sz w:val="17"/>
              </w:rPr>
              <w:t>Senior Network Engineer</w:t>
            </w:r>
          </w:p>
        </w:tc>
        <w:tc>
          <w:tcPr>
            <w:tcW w:type="dxa" w:w="1600"/>
            <w:tcMar>
              <w:top w:w="80" w:type="dxa"/>
              <w:start w:w="120" w:type="dxa"/>
              <w:bottom w:w="80" w:type="dxa"/>
              <w:end w:w="120" w:type="dxa"/>
            </w:tcMar>
            <w:vAlign w:val="center"/>
          </w:tcPr>
          <w:p>
            <w:pPr>
              <w:spacing w:before="0" w:after="40" w:line="240" w:lineRule="auto"/>
            </w:pPr>
            <w:r>
              <w:rPr>
                <w:rFonts w:ascii="Calibri" w:hAnsi="Calibri"/>
                <w:color w:val="24313A"/>
                <w:sz w:val="17"/>
              </w:rPr>
              <w:t>Admin</w:t>
            </w:r>
          </w:p>
        </w:tc>
        <w:tc>
          <w:tcPr>
            <w:tcW w:type="dxa" w:w="3660"/>
            <w:tcMar>
              <w:top w:w="80" w:type="dxa"/>
              <w:start w:w="120" w:type="dxa"/>
              <w:bottom w:w="80" w:type="dxa"/>
              <w:end w:w="120" w:type="dxa"/>
            </w:tcMar>
            <w:vAlign w:val="center"/>
          </w:tcPr>
          <w:p>
            <w:pPr>
              <w:spacing w:before="0" w:after="40" w:line="240" w:lineRule="auto"/>
            </w:pPr>
            <w:r>
              <w:rPr>
                <w:rFonts w:ascii="Calibri" w:hAnsi="Calibri"/>
                <w:color w:val="24313A"/>
                <w:sz w:val="17"/>
              </w:rPr>
              <w:t>Plan scoped work and request replacements</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Field/technical employee</w:t>
            </w:r>
          </w:p>
        </w:tc>
        <w:tc>
          <w:tcPr>
            <w:tcW w:type="dxa" w:w="2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Network, CCTV, cooling, AC, developer</w:t>
            </w:r>
          </w:p>
        </w:tc>
        <w:tc>
          <w:tcPr>
            <w:tcW w:type="dxa" w:w="16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Employee</w:t>
            </w:r>
          </w:p>
        </w:tc>
        <w:tc>
          <w:tcPr>
            <w:tcW w:type="dxa" w:w="36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See published work and maintain capability evidence</w:t>
            </w:r>
          </w:p>
        </w:tc>
      </w:tr>
    </w:tbl>
    <w:p>
      <w:pPr>
        <w:pStyle w:val="Heading1"/>
      </w:pPr>
      <w:r>
        <w:t>8. Role Overview</w:t>
      </w:r>
    </w:p>
    <w:p>
      <w:r>
        <w:t>System roles are independent of job designations. Authorization combines role, assigned scope, record participation, publication state, and sensitivity.</w:t>
      </w:r>
    </w:p>
    <w:p>
      <w:pPr>
        <w:pStyle w:val="Requirement"/>
      </w:pPr>
      <w:r>
        <w:rPr>
          <w:rFonts w:ascii="Calibri" w:hAnsi="Calibri"/>
          <w:b/>
          <w:color w:val="123B5D"/>
          <w:sz w:val="21"/>
        </w:rPr>
        <w:t xml:space="preserve">ROL-001: </w:t>
      </w:r>
      <w:r>
        <w:rPr>
          <w:rFonts w:ascii="Calibri" w:hAnsi="Calibri"/>
          <w:b w:val="0"/>
          <w:color w:val="24313A"/>
          <w:sz w:val="21"/>
        </w:rPr>
        <w:t>The system must support exactly three initial system roles: Super Admin, Admin, and Employee.</w:t>
      </w:r>
    </w:p>
    <w:p>
      <w:pPr>
        <w:pStyle w:val="Requirement"/>
      </w:pPr>
      <w:r>
        <w:rPr>
          <w:rFonts w:ascii="Calibri" w:hAnsi="Calibri"/>
          <w:b/>
          <w:color w:val="123B5D"/>
          <w:sz w:val="21"/>
        </w:rPr>
        <w:t xml:space="preserve">ROL-002: </w:t>
      </w:r>
      <w:r>
        <w:rPr>
          <w:rFonts w:ascii="Calibri" w:hAnsi="Calibri"/>
          <w:b w:val="0"/>
          <w:color w:val="24313A"/>
          <w:sz w:val="21"/>
        </w:rPr>
        <w:t>The system must store system role separately from job designation, skill, team, employment status, and assignment arrangement.</w:t>
      </w:r>
    </w:p>
    <w:p>
      <w:pPr>
        <w:pStyle w:val="Requirement"/>
      </w:pPr>
      <w:r>
        <w:rPr>
          <w:rFonts w:ascii="Calibri" w:hAnsi="Calibri"/>
          <w:b/>
          <w:color w:val="123B5D"/>
          <w:sz w:val="21"/>
        </w:rPr>
        <w:t xml:space="preserve">ROL-003: </w:t>
      </w:r>
      <w:r>
        <w:rPr>
          <w:rFonts w:ascii="Calibri" w:hAnsi="Calibri"/>
          <w:b w:val="0"/>
          <w:color w:val="24313A"/>
          <w:sz w:val="21"/>
        </w:rPr>
        <w:t>Super Admin must be able to assign roles and manage mock accounts in version 1.</w:t>
      </w:r>
    </w:p>
    <w:p>
      <w:pPr>
        <w:pStyle w:val="Requirement"/>
      </w:pPr>
      <w:r>
        <w:rPr>
          <w:rFonts w:ascii="Calibri" w:hAnsi="Calibri"/>
          <w:b/>
          <w:color w:val="123B5D"/>
          <w:sz w:val="21"/>
        </w:rPr>
        <w:t xml:space="preserve">ROL-004: </w:t>
      </w:r>
      <w:r>
        <w:rPr>
          <w:rFonts w:ascii="Calibri" w:hAnsi="Calibri"/>
          <w:b w:val="0"/>
          <w:color w:val="24313A"/>
          <w:sz w:val="21"/>
        </w:rPr>
        <w:t>Admin access to employees, clients, projects, locations, schedules, maps, notes, replacements, and reports must be limited to assigned scope.</w:t>
      </w:r>
    </w:p>
    <w:p>
      <w:pPr>
        <w:pStyle w:val="Requirement"/>
      </w:pPr>
      <w:r>
        <w:rPr>
          <w:rFonts w:ascii="Calibri" w:hAnsi="Calibri"/>
          <w:b/>
          <w:color w:val="123B5D"/>
          <w:sz w:val="21"/>
        </w:rPr>
        <w:t xml:space="preserve">ROL-005: </w:t>
      </w:r>
      <w:r>
        <w:rPr>
          <w:rFonts w:ascii="Calibri" w:hAnsi="Calibri"/>
          <w:b w:val="0"/>
          <w:color w:val="24313A"/>
          <w:sz w:val="21"/>
        </w:rPr>
        <w:t>Employee access must be limited to their own private records, their published assignments, generally shared project/client content, and discussions in which they participate.</w:t>
      </w:r>
    </w:p>
    <w:p>
      <w:pPr>
        <w:pStyle w:val="Requirement"/>
      </w:pPr>
      <w:r>
        <w:rPr>
          <w:rFonts w:ascii="Calibri" w:hAnsi="Calibri"/>
          <w:b/>
          <w:color w:val="123B5D"/>
          <w:sz w:val="21"/>
        </w:rPr>
        <w:t xml:space="preserve">ROL-006: </w:t>
      </w:r>
      <w:r>
        <w:rPr>
          <w:rFonts w:ascii="Calibri" w:hAnsi="Calibri"/>
          <w:b w:val="0"/>
          <w:color w:val="24313A"/>
          <w:sz w:val="21"/>
        </w:rPr>
        <w:t>Authorization must eventually be enforced server-side for every protected operation, not only through interface visibility.</w:t>
      </w:r>
    </w:p>
    <w:p>
      <w:pPr>
        <w:pStyle w:val="Requirement"/>
      </w:pPr>
      <w:r>
        <w:rPr>
          <w:rFonts w:ascii="Calibri" w:hAnsi="Calibri"/>
          <w:b/>
          <w:color w:val="123B5D"/>
          <w:sz w:val="21"/>
        </w:rPr>
        <w:t xml:space="preserve">AUD-001: </w:t>
      </w:r>
      <w:r>
        <w:rPr>
          <w:rFonts w:ascii="Calibri" w:hAnsi="Calibri"/>
          <w:b w:val="0"/>
          <w:color w:val="24313A"/>
          <w:sz w:val="21"/>
        </w:rPr>
        <w:t>The system must record auditable history for role/scope changes, significant record changes, schedule publication and post-publication edits, leave decisions, replacement decisions, note changes, and significant overrides.</w:t>
      </w:r>
    </w:p>
    <w:p>
      <w:pPr>
        <w:pStyle w:val="Requirement"/>
      </w:pPr>
      <w:r>
        <w:rPr>
          <w:rFonts w:ascii="Calibri" w:hAnsi="Calibri"/>
          <w:b/>
          <w:color w:val="123B5D"/>
          <w:sz w:val="21"/>
        </w:rPr>
        <w:t xml:space="preserve">AUD-002: </w:t>
      </w:r>
      <w:r>
        <w:rPr>
          <w:rFonts w:ascii="Calibri" w:hAnsi="Calibri"/>
          <w:b w:val="0"/>
          <w:color w:val="24313A"/>
          <w:sz w:val="21"/>
        </w:rPr>
        <w:t>A significant override must record actor, time, item overridden, and reason.</w:t>
      </w:r>
    </w:p>
    <w:p>
      <w:pPr>
        <w:pStyle w:val="Heading1"/>
      </w:pPr>
      <w:r>
        <w:t>9. Employee Profiles</w:t>
      </w:r>
    </w:p>
    <w:p>
      <w:r>
        <w:t>Profiles represent internal employees and support operational planning while protecting sensitive home-location and leave data.</w:t>
      </w:r>
    </w:p>
    <w:p>
      <w:pPr>
        <w:pStyle w:val="Requirement"/>
      </w:pPr>
      <w:r>
        <w:rPr>
          <w:rFonts w:ascii="Calibri" w:hAnsi="Calibri"/>
          <w:b/>
          <w:color w:val="123B5D"/>
          <w:sz w:val="21"/>
        </w:rPr>
        <w:t xml:space="preserve">EMP-001: </w:t>
      </w:r>
      <w:r>
        <w:rPr>
          <w:rFonts w:ascii="Calibri" w:hAnsi="Calibri"/>
          <w:b w:val="0"/>
          <w:color w:val="24313A"/>
          <w:sz w:val="21"/>
        </w:rPr>
        <w:t>An employee profile must support name, employee identifier, contact details, job designation, system role, team/department, assigned manager, working pattern when defined, active status, protected home location/area and coordinates when available, and default work location.</w:t>
      </w:r>
    </w:p>
    <w:p>
      <w:pPr>
        <w:pStyle w:val="Requirement"/>
      </w:pPr>
      <w:r>
        <w:rPr>
          <w:rFonts w:ascii="Calibri" w:hAnsi="Calibri"/>
          <w:b/>
          <w:color w:val="123B5D"/>
          <w:sz w:val="21"/>
        </w:rPr>
        <w:t xml:space="preserve">EMP-002: </w:t>
      </w:r>
      <w:r>
        <w:rPr>
          <w:rFonts w:ascii="Calibri" w:hAnsi="Calibri"/>
          <w:b w:val="0"/>
          <w:color w:val="24313A"/>
          <w:sz w:val="21"/>
        </w:rPr>
        <w:t>All employee records must represent internal employees; an outsourced/client placement must be represented only as an assignment arrangement or assignment.</w:t>
      </w:r>
    </w:p>
    <w:p>
      <w:pPr>
        <w:pStyle w:val="Requirement"/>
      </w:pPr>
      <w:r>
        <w:rPr>
          <w:rFonts w:ascii="Calibri" w:hAnsi="Calibri"/>
          <w:b/>
          <w:color w:val="123B5D"/>
          <w:sz w:val="21"/>
        </w:rPr>
        <w:t xml:space="preserve">EMP-003: </w:t>
      </w:r>
      <w:r>
        <w:rPr>
          <w:rFonts w:ascii="Calibri" w:hAnsi="Calibri"/>
          <w:b w:val="0"/>
          <w:color w:val="24313A"/>
          <w:sz w:val="21"/>
        </w:rPr>
        <w:t>Employees must be able to update only explicitly permitted profile fields.</w:t>
      </w:r>
    </w:p>
    <w:p>
      <w:pPr>
        <w:pStyle w:val="Requirement"/>
      </w:pPr>
      <w:r>
        <w:rPr>
          <w:rFonts w:ascii="Calibri" w:hAnsi="Calibri"/>
          <w:b/>
          <w:color w:val="123B5D"/>
          <w:sz w:val="21"/>
        </w:rPr>
        <w:t xml:space="preserve">EMP-004: </w:t>
      </w:r>
      <w:r>
        <w:rPr>
          <w:rFonts w:ascii="Calibri" w:hAnsi="Calibri"/>
          <w:b w:val="0"/>
          <w:color w:val="24313A"/>
          <w:sz w:val="21"/>
        </w:rPr>
        <w:t>Super Admin must be able to create, edit, deactivate, and manage employee accounts; whether Admin may create employees is open.</w:t>
      </w:r>
    </w:p>
    <w:p>
      <w:pPr>
        <w:pStyle w:val="Heading1"/>
      </w:pPr>
      <w:r>
        <w:t>10. Skills</w:t>
      </w:r>
    </w:p>
    <w:p>
      <w:r>
        <w:t>Employees can hold multiple skills. Proficiency, experience, coverage eligibility, and verification are modeled without selecting an unconfirmed scale.</w:t>
      </w:r>
    </w:p>
    <w:p>
      <w:pPr>
        <w:pStyle w:val="Requirement"/>
      </w:pPr>
      <w:r>
        <w:rPr>
          <w:rFonts w:ascii="Calibri" w:hAnsi="Calibri"/>
          <w:b/>
          <w:color w:val="123B5D"/>
          <w:sz w:val="21"/>
        </w:rPr>
        <w:t xml:space="preserve">SKL-001: </w:t>
      </w:r>
      <w:r>
        <w:rPr>
          <w:rFonts w:ascii="Calibri" w:hAnsi="Calibri"/>
          <w:b w:val="0"/>
          <w:color w:val="24313A"/>
          <w:sz w:val="21"/>
        </w:rPr>
        <w:t>An employee must support multiple skills.</w:t>
      </w:r>
    </w:p>
    <w:p>
      <w:pPr>
        <w:pStyle w:val="Requirement"/>
      </w:pPr>
      <w:r>
        <w:rPr>
          <w:rFonts w:ascii="Calibri" w:hAnsi="Calibri"/>
          <w:b/>
          <w:color w:val="123B5D"/>
          <w:sz w:val="21"/>
        </w:rPr>
        <w:t xml:space="preserve">SKL-002: </w:t>
      </w:r>
      <w:r>
        <w:rPr>
          <w:rFonts w:ascii="Calibri" w:hAnsi="Calibri"/>
          <w:b w:val="0"/>
          <w:color w:val="24313A"/>
          <w:sz w:val="21"/>
        </w:rPr>
        <w:t>A skill association may store proficiency, experience, notes, certifications, coverage eligibility, and verification state without selecting an unconfirmed proficiency scale.</w:t>
      </w:r>
    </w:p>
    <w:p>
      <w:pPr>
        <w:pStyle w:val="Requirement"/>
      </w:pPr>
      <w:r>
        <w:rPr>
          <w:rFonts w:ascii="Calibri" w:hAnsi="Calibri"/>
          <w:b/>
          <w:color w:val="123B5D"/>
          <w:sz w:val="21"/>
        </w:rPr>
        <w:t xml:space="preserve">SKL-003: </w:t>
      </w:r>
      <w:r>
        <w:rPr>
          <w:rFonts w:ascii="Calibri" w:hAnsi="Calibri"/>
          <w:b w:val="0"/>
          <w:color w:val="24313A"/>
          <w:sz w:val="21"/>
        </w:rPr>
        <w:t>Skill and availability filters must be usable by authorized planners when finding candidates.</w:t>
      </w:r>
    </w:p>
    <w:p>
      <w:pPr>
        <w:pStyle w:val="Heading1"/>
      </w:pPr>
      <w:r>
        <w:t>11. Certifications and Portfolio</w:t>
      </w:r>
    </w:p>
    <w:p>
      <w:r>
        <w:t>Submissions are saved immediately, notify Super Admin, and may be reviewed or verified; they are not subject to a mandatory approval workflow.</w:t>
      </w:r>
    </w:p>
    <w:p>
      <w:pPr>
        <w:pStyle w:val="Requirement"/>
      </w:pPr>
      <w:r>
        <w:rPr>
          <w:rFonts w:ascii="Calibri" w:hAnsi="Calibri"/>
          <w:b/>
          <w:color w:val="123B5D"/>
          <w:sz w:val="21"/>
        </w:rPr>
        <w:t xml:space="preserve">CER-001: </w:t>
      </w:r>
      <w:r>
        <w:rPr>
          <w:rFonts w:ascii="Calibri" w:hAnsi="Calibri"/>
          <w:b w:val="0"/>
          <w:color w:val="24313A"/>
          <w:sz w:val="21"/>
        </w:rPr>
        <w:t>Employees must be able to add certifications with issuer, issue date, expiry date, and supporting file, and maintain portfolio links/files, CV, project examples, and supporting documents.</w:t>
      </w:r>
    </w:p>
    <w:p>
      <w:pPr>
        <w:pStyle w:val="Requirement"/>
      </w:pPr>
      <w:r>
        <w:rPr>
          <w:rFonts w:ascii="Calibri" w:hAnsi="Calibri"/>
          <w:b/>
          <w:color w:val="123B5D"/>
          <w:sz w:val="21"/>
        </w:rPr>
        <w:t xml:space="preserve">CER-002: </w:t>
      </w:r>
      <w:r>
        <w:rPr>
          <w:rFonts w:ascii="Calibri" w:hAnsi="Calibri"/>
          <w:b w:val="0"/>
          <w:color w:val="24313A"/>
          <w:sz w:val="21"/>
        </w:rPr>
        <w:t>Certification or portfolio additions/updates must be saved immediately, marked new/updated, and notify Super Admin in-system.</w:t>
      </w:r>
    </w:p>
    <w:p>
      <w:pPr>
        <w:pStyle w:val="Requirement"/>
      </w:pPr>
      <w:r>
        <w:rPr>
          <w:rFonts w:ascii="Calibri" w:hAnsi="Calibri"/>
          <w:b/>
          <w:color w:val="123B5D"/>
          <w:sz w:val="21"/>
        </w:rPr>
        <w:t xml:space="preserve">CER-003: </w:t>
      </w:r>
      <w:r>
        <w:rPr>
          <w:rFonts w:ascii="Calibri" w:hAnsi="Calibri"/>
          <w:b w:val="0"/>
          <w:color w:val="24313A"/>
          <w:sz w:val="21"/>
        </w:rPr>
        <w:t>Super Admin must be able to mark an item reviewed or verified without turning submission into a mandatory approval workflow.</w:t>
      </w:r>
    </w:p>
    <w:p>
      <w:pPr>
        <w:pStyle w:val="Requirement"/>
      </w:pPr>
      <w:r>
        <w:rPr>
          <w:rFonts w:ascii="Calibri" w:hAnsi="Calibri"/>
          <w:b/>
          <w:color w:val="123B5D"/>
          <w:sz w:val="21"/>
        </w:rPr>
        <w:t xml:space="preserve">CER-004: </w:t>
      </w:r>
      <w:r>
        <w:rPr>
          <w:rFonts w:ascii="Calibri" w:hAnsi="Calibri"/>
          <w:b w:val="0"/>
          <w:color w:val="24313A"/>
          <w:sz w:val="21"/>
        </w:rPr>
        <w:t>Coverage use of unverified certifications must remain configurable or deferred until the verification rule is confirmed.</w:t>
      </w:r>
    </w:p>
    <w:p>
      <w:pPr>
        <w:pStyle w:val="Heading1"/>
      </w:pPr>
      <w:r>
        <w:t>12. Assignment Arrangements</w:t>
      </w:r>
    </w:p>
    <w:p>
      <w:r>
        <w:t>Manager-configured labels describe how an internal employee is assigned. Actual dates, times, assignments, skills, locations, leave, and coverage rules drive system logic.</w:t>
      </w:r>
    </w:p>
    <w:p>
      <w:pPr>
        <w:pStyle w:val="Requirement"/>
      </w:pPr>
      <w:r>
        <w:rPr>
          <w:rFonts w:ascii="Calibri" w:hAnsi="Calibri"/>
          <w:b/>
          <w:color w:val="123B5D"/>
          <w:sz w:val="21"/>
        </w:rPr>
        <w:t xml:space="preserve">ARR-001: </w:t>
      </w:r>
      <w:r>
        <w:rPr>
          <w:rFonts w:ascii="Calibri" w:hAnsi="Calibri"/>
          <w:b w:val="0"/>
          <w:color w:val="24313A"/>
          <w:sz w:val="21"/>
        </w:rPr>
        <w:t>Super Admin must be able to add, rename, reorder, color, activate/deactivate, and archive assignment-arrangement labels.</w:t>
      </w:r>
    </w:p>
    <w:p>
      <w:pPr>
        <w:pStyle w:val="Requirement"/>
      </w:pPr>
      <w:r>
        <w:rPr>
          <w:rFonts w:ascii="Calibri" w:hAnsi="Calibri"/>
          <w:b/>
          <w:color w:val="123B5D"/>
          <w:sz w:val="21"/>
        </w:rPr>
        <w:t xml:space="preserve">ARR-002: </w:t>
      </w:r>
      <w:r>
        <w:rPr>
          <w:rFonts w:ascii="Calibri" w:hAnsi="Calibri"/>
          <w:b w:val="0"/>
          <w:color w:val="24313A"/>
          <w:sz w:val="21"/>
        </w:rPr>
        <w:t>Labels such as Internal Office, Outsourced to Client, Permanent Client Assignment, Scheduled Visit, Temporary Project, One-Time Visit, On Call, or Available must be descriptive only.</w:t>
      </w:r>
    </w:p>
    <w:p>
      <w:pPr>
        <w:pStyle w:val="Requirement"/>
      </w:pPr>
      <w:r>
        <w:rPr>
          <w:rFonts w:ascii="Calibri" w:hAnsi="Calibri"/>
          <w:b/>
          <w:color w:val="123B5D"/>
          <w:sz w:val="21"/>
        </w:rPr>
        <w:t xml:space="preserve">ARR-003: </w:t>
      </w:r>
      <w:r>
        <w:rPr>
          <w:rFonts w:ascii="Calibri" w:hAnsi="Calibri"/>
          <w:b w:val="0"/>
          <w:color w:val="24313A"/>
          <w:sz w:val="21"/>
        </w:rPr>
        <w:t>Availability, coverage, leave eligibility, replacement eligibility, work hours, permissions, and conflicts must not be derived solely from an arrangement label.</w:t>
      </w:r>
    </w:p>
    <w:p>
      <w:pPr>
        <w:pStyle w:val="Requirement"/>
      </w:pPr>
      <w:r>
        <w:rPr>
          <w:rFonts w:ascii="Calibri" w:hAnsi="Calibri"/>
          <w:b/>
          <w:color w:val="123B5D"/>
          <w:sz w:val="21"/>
        </w:rPr>
        <w:t xml:space="preserve">ARR-004: </w:t>
      </w:r>
      <w:r>
        <w:rPr>
          <w:rFonts w:ascii="Calibri" w:hAnsi="Calibri"/>
          <w:b w:val="0"/>
          <w:color w:val="24313A"/>
          <w:sz w:val="21"/>
        </w:rPr>
        <w:t>A used label must be safely archived or retained in history rather than silently destroying historical meaning.</w:t>
      </w:r>
    </w:p>
    <w:p>
      <w:pPr>
        <w:pStyle w:val="Heading1"/>
      </w:pPr>
      <w:r>
        <w:t>13. Clients</w:t>
      </w:r>
    </w:p>
    <w:p>
      <w:r>
        <w:t>Clients organize service context and requirements; the Account Manager coordinates the client but is not automatically the field worker.</w:t>
      </w:r>
    </w:p>
    <w:p>
      <w:pPr>
        <w:pStyle w:val="Requirement"/>
      </w:pPr>
      <w:r>
        <w:rPr>
          <w:rFonts w:ascii="Calibri" w:hAnsi="Calibri"/>
          <w:b/>
          <w:color w:val="123B5D"/>
          <w:sz w:val="21"/>
        </w:rPr>
        <w:t xml:space="preserve">CLI-001: </w:t>
      </w:r>
      <w:r>
        <w:rPr>
          <w:rFonts w:ascii="Calibri" w:hAnsi="Calibri"/>
          <w:b w:val="0"/>
          <w:color w:val="24313A"/>
          <w:sz w:val="21"/>
        </w:rPr>
        <w:t>A client must support company name, Account Manager, contacts, service/contract period, services, specialty requirements, related projects/locations, assigned employees, visits, coverage requirements, and shared notes as applicable.</w:t>
      </w:r>
    </w:p>
    <w:p>
      <w:pPr>
        <w:pStyle w:val="Requirement"/>
      </w:pPr>
      <w:r>
        <w:rPr>
          <w:rFonts w:ascii="Calibri" w:hAnsi="Calibri"/>
          <w:b/>
          <w:color w:val="123B5D"/>
          <w:sz w:val="21"/>
        </w:rPr>
        <w:t xml:space="preserve">CLI-002: </w:t>
      </w:r>
      <w:r>
        <w:rPr>
          <w:rFonts w:ascii="Calibri" w:hAnsi="Calibri"/>
          <w:b w:val="0"/>
          <w:color w:val="24313A"/>
          <w:sz w:val="21"/>
        </w:rPr>
        <w:t>The model must distinguish the Account Manager who coordinates a client from employees who perform fieldwork.</w:t>
      </w:r>
    </w:p>
    <w:p>
      <w:pPr>
        <w:pStyle w:val="Heading1"/>
      </w:pPr>
      <w:r>
        <w:t>14. Projects</w:t>
      </w:r>
    </w:p>
    <w:p>
      <w:r>
        <w:t>Projects organize bodies of client work and relate responsible Admins, dates, status, locations, skills, employees, notes, schedules, and future tickets.</w:t>
      </w:r>
    </w:p>
    <w:p>
      <w:pPr>
        <w:pStyle w:val="Requirement"/>
      </w:pPr>
      <w:r>
        <w:rPr>
          <w:rFonts w:ascii="Calibri" w:hAnsi="Calibri"/>
          <w:b/>
          <w:color w:val="123B5D"/>
          <w:sz w:val="21"/>
        </w:rPr>
        <w:t xml:space="preserve">PRJ-001: </w:t>
      </w:r>
      <w:r>
        <w:rPr>
          <w:rFonts w:ascii="Calibri" w:hAnsi="Calibri"/>
          <w:b w:val="0"/>
          <w:color w:val="24313A"/>
          <w:sz w:val="21"/>
        </w:rPr>
        <w:t>A project must support name, client, responsible Admin/manager, dates, status, locations, required skills, employees, shared notes, schedule entries, and later ticket links.</w:t>
      </w:r>
    </w:p>
    <w:p>
      <w:pPr>
        <w:pStyle w:val="Requirement"/>
      </w:pPr>
      <w:r>
        <w:rPr>
          <w:rFonts w:ascii="Calibri" w:hAnsi="Calibri"/>
          <w:b/>
          <w:color w:val="123B5D"/>
          <w:sz w:val="21"/>
        </w:rPr>
        <w:t xml:space="preserve">REL-001: </w:t>
      </w:r>
      <w:r>
        <w:rPr>
          <w:rFonts w:ascii="Calibri" w:hAnsi="Calibri"/>
          <w:b w:val="0"/>
          <w:color w:val="24313A"/>
          <w:sz w:val="21"/>
        </w:rPr>
        <w:t>Client, Project, Location, Employee, Skill Requirement, Assignment, and Account Manager relationships must remain distinct and independently queryable.</w:t>
      </w:r>
    </w:p>
    <w:p>
      <w:pPr>
        <w:pStyle w:val="Heading1"/>
      </w:pPr>
      <w:r>
        <w:t>15. Locations</w:t>
      </w:r>
    </w:p>
    <w:p>
      <w:r>
        <w:t>Locations represent where planned work occurs, including coordinates, access instructions, staffing/skill needs, contacts, and site information.</w:t>
      </w:r>
    </w:p>
    <w:p>
      <w:pPr>
        <w:pStyle w:val="Requirement"/>
      </w:pPr>
      <w:r>
        <w:rPr>
          <w:rFonts w:ascii="Calibri" w:hAnsi="Calibri"/>
          <w:b/>
          <w:color w:val="123B5D"/>
          <w:sz w:val="21"/>
        </w:rPr>
        <w:t xml:space="preserve">LOC-001: </w:t>
      </w:r>
      <w:r>
        <w:rPr>
          <w:rFonts w:ascii="Calibri" w:hAnsi="Calibri"/>
          <w:b w:val="0"/>
          <w:color w:val="24313A"/>
          <w:sz w:val="21"/>
        </w:rPr>
        <w:t>A location must support name, address, coordinates, client/projects, site hours, required skills and employee count, permanent assignments, visit requirements, contacts, access instructions, and work notes as applicable.</w:t>
      </w:r>
    </w:p>
    <w:p>
      <w:pPr>
        <w:pStyle w:val="Heading1"/>
      </w:pPr>
      <w:r>
        <w:t>16. Scheduling</w:t>
      </w:r>
    </w:p>
    <w:p>
      <w:r>
        <w:t>The monthly board supports forward planning and Draft -&gt; Proposed -&gt; Published states. Admin may propose within scope; only Super Admin publishes; Employees see published entries only.</w:t>
      </w:r>
    </w:p>
    <w:p>
      <w:pPr>
        <w:pStyle w:val="Requirement"/>
      </w:pPr>
      <w:r>
        <w:rPr>
          <w:rFonts w:ascii="Calibri" w:hAnsi="Calibri"/>
          <w:b/>
          <w:color w:val="123B5D"/>
          <w:sz w:val="21"/>
        </w:rPr>
        <w:t xml:space="preserve">SCH-001: </w:t>
      </w:r>
      <w:r>
        <w:rPr>
          <w:rFonts w:ascii="Calibri" w:hAnsi="Calibri"/>
          <w:b w:val="0"/>
          <w:color w:val="24313A"/>
          <w:sz w:val="21"/>
        </w:rPr>
        <w:t>Authorized planners must be able to plan multiple weeks or months using a monthly employee-by-day board with search and filters.</w:t>
      </w:r>
    </w:p>
    <w:p>
      <w:pPr>
        <w:pStyle w:val="Requirement"/>
      </w:pPr>
      <w:r>
        <w:rPr>
          <w:rFonts w:ascii="Calibri" w:hAnsi="Calibri"/>
          <w:b/>
          <w:color w:val="123B5D"/>
          <w:sz w:val="21"/>
        </w:rPr>
        <w:t xml:space="preserve">SCH-002: </w:t>
      </w:r>
      <w:r>
        <w:rPr>
          <w:rFonts w:ascii="Calibri" w:hAnsi="Calibri"/>
          <w:b w:val="0"/>
          <w:color w:val="24313A"/>
          <w:sz w:val="21"/>
        </w:rPr>
        <w:t>Schedules must support permanent, temporary, one-time, recurring, full-day, timed, multi-day, on-call, client, project, and location assignments.</w:t>
      </w:r>
    </w:p>
    <w:p>
      <w:pPr>
        <w:pStyle w:val="Requirement"/>
      </w:pPr>
      <w:r>
        <w:rPr>
          <w:rFonts w:ascii="Calibri" w:hAnsi="Calibri"/>
          <w:b/>
          <w:color w:val="123B5D"/>
          <w:sz w:val="21"/>
        </w:rPr>
        <w:t xml:space="preserve">SCH-003: </w:t>
      </w:r>
      <w:r>
        <w:rPr>
          <w:rFonts w:ascii="Calibri" w:hAnsi="Calibri"/>
          <w:b w:val="0"/>
          <w:color w:val="24313A"/>
          <w:sz w:val="21"/>
        </w:rPr>
        <w:t>Every schedule version or planning set must have a clear state: Draft, Proposed for review, or Published.</w:t>
      </w:r>
    </w:p>
    <w:p>
      <w:pPr>
        <w:pStyle w:val="Requirement"/>
      </w:pPr>
      <w:r>
        <w:rPr>
          <w:rFonts w:ascii="Calibri" w:hAnsi="Calibri"/>
          <w:b/>
          <w:color w:val="123B5D"/>
          <w:sz w:val="21"/>
        </w:rPr>
        <w:t xml:space="preserve">SCH-004: </w:t>
      </w:r>
      <w:r>
        <w:rPr>
          <w:rFonts w:ascii="Calibri" w:hAnsi="Calibri"/>
          <w:b w:val="0"/>
          <w:color w:val="24313A"/>
          <w:sz w:val="21"/>
        </w:rPr>
        <w:t>Admin must be able to create/edit drafts and assignments only within scope and submit proposals for Super Admin review.</w:t>
      </w:r>
    </w:p>
    <w:p>
      <w:pPr>
        <w:pStyle w:val="Requirement"/>
      </w:pPr>
      <w:r>
        <w:rPr>
          <w:rFonts w:ascii="Calibri" w:hAnsi="Calibri"/>
          <w:b/>
          <w:color w:val="123B5D"/>
          <w:sz w:val="21"/>
        </w:rPr>
        <w:t xml:space="preserve">SCH-005: </w:t>
      </w:r>
      <w:r>
        <w:rPr>
          <w:rFonts w:ascii="Calibri" w:hAnsi="Calibri"/>
          <w:b w:val="0"/>
          <w:color w:val="24313A"/>
          <w:sz w:val="21"/>
        </w:rPr>
        <w:t>Admin must not be able to publish a schedule or make the final schedule approval.</w:t>
      </w:r>
    </w:p>
    <w:p>
      <w:pPr>
        <w:pStyle w:val="Requirement"/>
      </w:pPr>
      <w:r>
        <w:rPr>
          <w:rFonts w:ascii="Calibri" w:hAnsi="Calibri"/>
          <w:b/>
          <w:color w:val="123B5D"/>
          <w:sz w:val="21"/>
        </w:rPr>
        <w:t xml:space="preserve">SCH-006: </w:t>
      </w:r>
      <w:r>
        <w:rPr>
          <w:rFonts w:ascii="Calibri" w:hAnsi="Calibri"/>
          <w:b w:val="0"/>
          <w:color w:val="24313A"/>
          <w:sz w:val="21"/>
        </w:rPr>
        <w:t>Only Super Admin must be able to publish and modify published schedules.</w:t>
      </w:r>
    </w:p>
    <w:p>
      <w:pPr>
        <w:pStyle w:val="Requirement"/>
      </w:pPr>
      <w:r>
        <w:rPr>
          <w:rFonts w:ascii="Calibri" w:hAnsi="Calibri"/>
          <w:b/>
          <w:color w:val="123B5D"/>
          <w:sz w:val="21"/>
        </w:rPr>
        <w:t xml:space="preserve">SCH-007: </w:t>
      </w:r>
      <w:r>
        <w:rPr>
          <w:rFonts w:ascii="Calibri" w:hAnsi="Calibri"/>
          <w:b w:val="0"/>
          <w:color w:val="24313A"/>
          <w:sz w:val="21"/>
        </w:rPr>
        <w:t>Employees must see their relevant Published schedule and must not see Draft or Proposed content.</w:t>
      </w:r>
    </w:p>
    <w:p>
      <w:pPr>
        <w:pStyle w:val="Requirement"/>
      </w:pPr>
      <w:r>
        <w:rPr>
          <w:rFonts w:ascii="Calibri" w:hAnsi="Calibri"/>
          <w:b/>
          <w:color w:val="123B5D"/>
          <w:sz w:val="21"/>
        </w:rPr>
        <w:t xml:space="preserve">SCH-008: </w:t>
      </w:r>
      <w:r>
        <w:rPr>
          <w:rFonts w:ascii="Calibri" w:hAnsi="Calibri"/>
          <w:b w:val="0"/>
          <w:color w:val="24313A"/>
          <w:sz w:val="21"/>
        </w:rPr>
        <w:t>Publication must notify affected employees; a post-publication change must be audited and notify affected employees.</w:t>
      </w:r>
    </w:p>
    <w:p>
      <w:pPr>
        <w:pStyle w:val="Requirement"/>
      </w:pPr>
      <w:r>
        <w:rPr>
          <w:rFonts w:ascii="Calibri" w:hAnsi="Calibri"/>
          <w:b/>
          <w:color w:val="123B5D"/>
          <w:sz w:val="21"/>
        </w:rPr>
        <w:t xml:space="preserve">SCH-009: </w:t>
      </w:r>
      <w:r>
        <w:rPr>
          <w:rFonts w:ascii="Calibri" w:hAnsi="Calibri"/>
          <w:b w:val="0"/>
          <w:color w:val="24313A"/>
          <w:sz w:val="21"/>
        </w:rPr>
        <w:t>The system must detect an employee assigned to overlapping locations/times and assignment during approved leave.</w:t>
      </w:r>
    </w:p>
    <w:p>
      <w:pPr>
        <w:pStyle w:val="Requirement"/>
      </w:pPr>
      <w:r>
        <w:rPr>
          <w:rFonts w:ascii="Calibri" w:hAnsi="Calibri"/>
          <w:b/>
          <w:color w:val="123B5D"/>
          <w:sz w:val="21"/>
        </w:rPr>
        <w:t xml:space="preserve">SCH-010: </w:t>
      </w:r>
      <w:r>
        <w:rPr>
          <w:rFonts w:ascii="Calibri" w:hAnsi="Calibri"/>
          <w:b w:val="0"/>
          <w:color w:val="24313A"/>
          <w:sz w:val="21"/>
        </w:rPr>
        <w:t>The system must surface assignment outside normal working days, missing required skill, insufficient specialty coverage, overlapping recurrence, and out-of-scope Admin assignment as conflicts; final severity/override policy remains open where not confirmed.</w:t>
      </w:r>
    </w:p>
    <w:p>
      <w:pPr>
        <w:pStyle w:val="Requirement"/>
      </w:pPr>
      <w:r>
        <w:rPr>
          <w:rFonts w:ascii="Calibri" w:hAnsi="Calibri"/>
          <w:b/>
          <w:color w:val="123B5D"/>
          <w:sz w:val="21"/>
        </w:rPr>
        <w:t xml:space="preserve">SCH-011: </w:t>
      </w:r>
      <w:r>
        <w:rPr>
          <w:rFonts w:ascii="Calibri" w:hAnsi="Calibri"/>
          <w:b w:val="0"/>
          <w:color w:val="24313A"/>
          <w:sz w:val="21"/>
        </w:rPr>
        <w:t>Confirmed conflict messages must identify the affected employee/requirement and period and provide enough context for an authorized manager to act.</w:t>
      </w:r>
    </w:p>
    <w:p>
      <w:pPr>
        <w:pStyle w:val="Heading1"/>
      </w:pPr>
      <w:r>
        <w:t>17. Static Planning Map</w:t>
      </w:r>
    </w:p>
    <w:p>
      <w:r>
        <w:t>The map visualizes stored locations and published plans for a selected date. It must never imply live tracking or expose management planning to Employees.</w:t>
      </w:r>
    </w:p>
    <w:p>
      <w:pPr>
        <w:pStyle w:val="Requirement"/>
      </w:pPr>
      <w:r>
        <w:rPr>
          <w:rFonts w:ascii="Calibri" w:hAnsi="Calibri"/>
          <w:b/>
          <w:color w:val="123B5D"/>
          <w:sz w:val="21"/>
        </w:rPr>
        <w:t xml:space="preserve">MAP-001: </w:t>
      </w:r>
      <w:r>
        <w:rPr>
          <w:rFonts w:ascii="Calibri" w:hAnsi="Calibri"/>
          <w:b w:val="0"/>
          <w:color w:val="24313A"/>
          <w:sz w:val="21"/>
        </w:rPr>
        <w:t>Super Admin and scoped Admin must have a management planning map; Employee must have no access.</w:t>
      </w:r>
    </w:p>
    <w:p>
      <w:pPr>
        <w:pStyle w:val="Requirement"/>
      </w:pPr>
      <w:r>
        <w:rPr>
          <w:rFonts w:ascii="Calibri" w:hAnsi="Calibri"/>
          <w:b/>
          <w:color w:val="123B5D"/>
          <w:sz w:val="21"/>
        </w:rPr>
        <w:t xml:space="preserve">MAP-002: </w:t>
      </w:r>
      <w:r>
        <w:rPr>
          <w:rFonts w:ascii="Calibri" w:hAnsi="Calibri"/>
          <w:b w:val="0"/>
          <w:color w:val="24313A"/>
          <w:sz w:val="21"/>
        </w:rPr>
        <w:t>The map must use stored employee home location/area, stored client/project locations, Published schedule entries, and a selected date or period.</w:t>
      </w:r>
    </w:p>
    <w:p>
      <w:pPr>
        <w:pStyle w:val="Requirement"/>
      </w:pPr>
      <w:r>
        <w:rPr>
          <w:rFonts w:ascii="Calibri" w:hAnsi="Calibri"/>
          <w:b/>
          <w:color w:val="123B5D"/>
          <w:sz w:val="21"/>
        </w:rPr>
        <w:t xml:space="preserve">MAP-003: </w:t>
      </w:r>
      <w:r>
        <w:rPr>
          <w:rFonts w:ascii="Calibri" w:hAnsi="Calibri"/>
          <w:b w:val="0"/>
          <w:color w:val="24313A"/>
          <w:sz w:val="21"/>
        </w:rPr>
        <w:t>The map must state: "Planning status for [selected date] - based on the published schedule, not live tracking," or equivalent explicit wording.</w:t>
      </w:r>
    </w:p>
    <w:p>
      <w:pPr>
        <w:pStyle w:val="Requirement"/>
      </w:pPr>
      <w:r>
        <w:rPr>
          <w:rFonts w:ascii="Calibri" w:hAnsi="Calibri"/>
          <w:b/>
          <w:color w:val="123B5D"/>
          <w:sz w:val="21"/>
        </w:rPr>
        <w:t xml:space="preserve">MAP-004: </w:t>
      </w:r>
      <w:r>
        <w:rPr>
          <w:rFonts w:ascii="Calibri" w:hAnsi="Calibri"/>
          <w:b w:val="0"/>
          <w:color w:val="24313A"/>
          <w:sz w:val="21"/>
        </w:rPr>
        <w:t>The map must display selected period, active filters, marker legend, and last schedule publication time.</w:t>
      </w:r>
    </w:p>
    <w:p>
      <w:pPr>
        <w:pStyle w:val="Requirement"/>
      </w:pPr>
      <w:r>
        <w:rPr>
          <w:rFonts w:ascii="Calibri" w:hAnsi="Calibri"/>
          <w:b/>
          <w:color w:val="123B5D"/>
          <w:sz w:val="21"/>
        </w:rPr>
        <w:t xml:space="preserve">MAP-005: </w:t>
      </w:r>
      <w:r>
        <w:rPr>
          <w:rFonts w:ascii="Calibri" w:hAnsi="Calibri"/>
          <w:b w:val="0"/>
          <w:color w:val="24313A"/>
          <w:sz w:val="21"/>
        </w:rPr>
        <w:t>The map may show planned connections, assignments, availability, leave, and coverage problems, but must not display or imply GPS, live position, route history, or movement surveillance.</w:t>
      </w:r>
    </w:p>
    <w:p>
      <w:pPr>
        <w:pStyle w:val="Requirement"/>
      </w:pPr>
      <w:r>
        <w:rPr>
          <w:rFonts w:ascii="Calibri" w:hAnsi="Calibri"/>
          <w:b/>
          <w:color w:val="123B5D"/>
          <w:sz w:val="21"/>
        </w:rPr>
        <w:t xml:space="preserve">MAP-006: </w:t>
      </w:r>
      <w:r>
        <w:rPr>
          <w:rFonts w:ascii="Calibri" w:hAnsi="Calibri"/>
          <w:b w:val="0"/>
          <w:color w:val="24313A"/>
          <w:sz w:val="21"/>
        </w:rPr>
        <w:t>Admin map results must be filtered to assigned scope; Super Admin may view all authorized planning data.</w:t>
      </w:r>
    </w:p>
    <w:p>
      <w:pPr>
        <w:pStyle w:val="Requirement"/>
      </w:pPr>
      <w:r>
        <w:rPr>
          <w:rFonts w:ascii="Calibri" w:hAnsi="Calibri"/>
          <w:b/>
          <w:color w:val="123B5D"/>
          <w:sz w:val="21"/>
        </w:rPr>
        <w:t xml:space="preserve">MAP-007: </w:t>
      </w:r>
      <w:r>
        <w:rPr>
          <w:rFonts w:ascii="Calibri" w:hAnsi="Calibri"/>
          <w:b w:val="0"/>
          <w:color w:val="24313A"/>
          <w:sz w:val="21"/>
        </w:rPr>
        <w:t>Provider, geocoding, address precision, distance method, route/travel time, and extra precise-address permission remain open.</w:t>
      </w:r>
    </w:p>
    <w:p>
      <w:pPr>
        <w:pStyle w:val="Heading1"/>
      </w:pPr>
      <w:r>
        <w:t>18. Leave Management</w:t>
      </w:r>
    </w:p>
    <w:p>
      <w:r>
        <w:t>Employees submit leave; the system evaluates impact; only Super Admin sees required details and decides. Admins see unavailability only by default and do not advise on the outcome.</w:t>
      </w:r>
    </w:p>
    <w:p>
      <w:pPr>
        <w:pStyle w:val="Requirement"/>
      </w:pPr>
      <w:r>
        <w:rPr>
          <w:rFonts w:ascii="Calibri" w:hAnsi="Calibri"/>
          <w:b/>
          <w:color w:val="123B5D"/>
          <w:sz w:val="21"/>
        </w:rPr>
        <w:t xml:space="preserve">LEV-001: </w:t>
      </w:r>
      <w:r>
        <w:rPr>
          <w:rFonts w:ascii="Calibri" w:hAnsi="Calibri"/>
          <w:b w:val="0"/>
          <w:color w:val="24313A"/>
          <w:sz w:val="21"/>
        </w:rPr>
        <w:t>An Employee must be able to request annual leave for one or multiple dates with an optional note/reason and view Pending, Approved, or Rejected status.</w:t>
      </w:r>
    </w:p>
    <w:p>
      <w:pPr>
        <w:pStyle w:val="Requirement"/>
      </w:pPr>
      <w:r>
        <w:rPr>
          <w:rFonts w:ascii="Calibri" w:hAnsi="Calibri"/>
          <w:b/>
          <w:color w:val="123B5D"/>
          <w:sz w:val="21"/>
        </w:rPr>
        <w:t xml:space="preserve">LEV-002: </w:t>
      </w:r>
      <w:r>
        <w:rPr>
          <w:rFonts w:ascii="Calibri" w:hAnsi="Calibri"/>
          <w:b w:val="0"/>
          <w:color w:val="24313A"/>
          <w:sz w:val="21"/>
        </w:rPr>
        <w:t>An Employee may cancel a Pending request only when the eventual cancellation rule permits.</w:t>
      </w:r>
    </w:p>
    <w:p>
      <w:pPr>
        <w:pStyle w:val="Requirement"/>
      </w:pPr>
      <w:r>
        <w:rPr>
          <w:rFonts w:ascii="Calibri" w:hAnsi="Calibri"/>
          <w:b/>
          <w:color w:val="123B5D"/>
          <w:sz w:val="21"/>
        </w:rPr>
        <w:t xml:space="preserve">LEV-003: </w:t>
      </w:r>
      <w:r>
        <w:rPr>
          <w:rFonts w:ascii="Calibri" w:hAnsi="Calibri"/>
          <w:b w:val="0"/>
          <w:color w:val="24313A"/>
          <w:sz w:val="21"/>
        </w:rPr>
        <w:t>Leave submission must notify Super Admin.</w:t>
      </w:r>
    </w:p>
    <w:p>
      <w:pPr>
        <w:pStyle w:val="Requirement"/>
      </w:pPr>
      <w:r>
        <w:rPr>
          <w:rFonts w:ascii="Calibri" w:hAnsi="Calibri"/>
          <w:b/>
          <w:color w:val="123B5D"/>
          <w:sz w:val="21"/>
        </w:rPr>
        <w:t xml:space="preserve">LEV-004: </w:t>
      </w:r>
      <w:r>
        <w:rPr>
          <w:rFonts w:ascii="Calibri" w:hAnsi="Calibri"/>
          <w:b w:val="0"/>
          <w:color w:val="24313A"/>
          <w:sz w:val="21"/>
        </w:rPr>
        <w:t>Only Super Admin must be able to view complete leave details as required and approve or reject leave with a response.</w:t>
      </w:r>
    </w:p>
    <w:p>
      <w:pPr>
        <w:pStyle w:val="Requirement"/>
      </w:pPr>
      <w:r>
        <w:rPr>
          <w:rFonts w:ascii="Calibri" w:hAnsi="Calibri"/>
          <w:b/>
          <w:color w:val="123B5D"/>
          <w:sz w:val="21"/>
        </w:rPr>
        <w:t xml:space="preserve">LEV-005: </w:t>
      </w:r>
      <w:r>
        <w:rPr>
          <w:rFonts w:ascii="Calibri" w:hAnsi="Calibri"/>
          <w:b w:val="0"/>
          <w:color w:val="24313A"/>
          <w:sz w:val="21"/>
        </w:rPr>
        <w:t>Admin must not approve, reject, or recommend leave outcomes and must not see private reasons by default; Admin may see that an employee is unavailable.</w:t>
      </w:r>
    </w:p>
    <w:p>
      <w:pPr>
        <w:pStyle w:val="Requirement"/>
      </w:pPr>
      <w:r>
        <w:rPr>
          <w:rFonts w:ascii="Calibri" w:hAnsi="Calibri"/>
          <w:b/>
          <w:color w:val="123B5D"/>
          <w:sz w:val="21"/>
        </w:rPr>
        <w:t xml:space="preserve">LEV-006: </w:t>
      </w:r>
      <w:r>
        <w:rPr>
          <w:rFonts w:ascii="Calibri" w:hAnsi="Calibri"/>
          <w:b w:val="0"/>
          <w:color w:val="24313A"/>
          <w:sz w:val="21"/>
        </w:rPr>
        <w:t>Before approval, the system must evaluate approved leave, assignments, required skills, minimum coverage, replacements, and affected clients/projects/locations.</w:t>
      </w:r>
    </w:p>
    <w:p>
      <w:pPr>
        <w:pStyle w:val="Requirement"/>
      </w:pPr>
      <w:r>
        <w:rPr>
          <w:rFonts w:ascii="Calibri" w:hAnsi="Calibri"/>
          <w:b/>
          <w:color w:val="123B5D"/>
          <w:sz w:val="21"/>
        </w:rPr>
        <w:t xml:space="preserve">LEV-007: </w:t>
      </w:r>
      <w:r>
        <w:rPr>
          <w:rFonts w:ascii="Calibri" w:hAnsi="Calibri"/>
          <w:b w:val="0"/>
          <w:color w:val="24313A"/>
          <w:sz w:val="21"/>
        </w:rPr>
        <w:t>A decision must notify the requesting Employee and create an audit event.</w:t>
      </w:r>
    </w:p>
    <w:p>
      <w:pPr>
        <w:pStyle w:val="Requirement"/>
      </w:pPr>
      <w:r>
        <w:rPr>
          <w:rFonts w:ascii="Calibri" w:hAnsi="Calibri"/>
          <w:b/>
          <w:color w:val="123B5D"/>
          <w:sz w:val="21"/>
        </w:rPr>
        <w:t xml:space="preserve">LEV-008: </w:t>
      </w:r>
      <w:r>
        <w:rPr>
          <w:rFonts w:ascii="Calibri" w:hAnsi="Calibri"/>
          <w:b w:val="0"/>
          <w:color w:val="24313A"/>
          <w:sz w:val="21"/>
        </w:rPr>
        <w:t>Leave balances, leave year, half-day handling, holidays, and weekends must not be calculated until rules are confirmed.</w:t>
      </w:r>
    </w:p>
    <w:p>
      <w:pPr>
        <w:pStyle w:val="Heading1"/>
      </w:pPr>
      <w:r>
        <w:t>19. Coverage and Replacements</w:t>
      </w:r>
    </w:p>
    <w:p>
      <w:r>
        <w:t>Coverage uses actual capability and availability. Replacement ranking assists human judgment; Super Admin retains final authority.</w:t>
      </w:r>
    </w:p>
    <w:p>
      <w:pPr>
        <w:pStyle w:val="Requirement"/>
      </w:pPr>
      <w:r>
        <w:rPr>
          <w:rFonts w:ascii="Calibri" w:hAnsi="Calibri"/>
          <w:b/>
          <w:color w:val="123B5D"/>
          <w:sz w:val="21"/>
        </w:rPr>
        <w:t xml:space="preserve">COV-001: </w:t>
      </w:r>
      <w:r>
        <w:rPr>
          <w:rFonts w:ascii="Calibri" w:hAnsi="Calibri"/>
          <w:b w:val="0"/>
          <w:color w:val="24313A"/>
          <w:sz w:val="21"/>
        </w:rPr>
        <w:t>Authorized management must be able to define coverage requirements by skill, count, level/certification where confirmed, client/project/location, and date/time.</w:t>
      </w:r>
    </w:p>
    <w:p>
      <w:pPr>
        <w:pStyle w:val="Requirement"/>
      </w:pPr>
      <w:r>
        <w:rPr>
          <w:rFonts w:ascii="Calibri" w:hAnsi="Calibri"/>
          <w:b/>
          <w:color w:val="123B5D"/>
          <w:sz w:val="21"/>
        </w:rPr>
        <w:t xml:space="preserve">COV-002: </w:t>
      </w:r>
      <w:r>
        <w:rPr>
          <w:rFonts w:ascii="Calibri" w:hAnsi="Calibri"/>
          <w:b w:val="0"/>
          <w:color w:val="24313A"/>
          <w:sz w:val="21"/>
        </w:rPr>
        <w:t>Coverage evaluation must use actual skills, availability, assignments, approved leave, and applicable requirements rather than fixed employee pairs or arrangement labels.</w:t>
      </w:r>
    </w:p>
    <w:p>
      <w:pPr>
        <w:pStyle w:val="Requirement"/>
      </w:pPr>
      <w:r>
        <w:rPr>
          <w:rFonts w:ascii="Calibri" w:hAnsi="Calibri"/>
          <w:b/>
          <w:color w:val="123B5D"/>
          <w:sz w:val="21"/>
        </w:rPr>
        <w:t xml:space="preserve">COV-003: </w:t>
      </w:r>
      <w:r>
        <w:rPr>
          <w:rFonts w:ascii="Calibri" w:hAnsi="Calibri"/>
          <w:b w:val="0"/>
          <w:color w:val="24313A"/>
          <w:sz w:val="21"/>
        </w:rPr>
        <w:t>If overlapping leave would leave zero available employees for a required scarce skill, the system must display a clear coverage-conflict message with dates.</w:t>
      </w:r>
    </w:p>
    <w:p>
      <w:pPr>
        <w:pStyle w:val="Requirement"/>
      </w:pPr>
      <w:r>
        <w:rPr>
          <w:rFonts w:ascii="Calibri" w:hAnsi="Calibri"/>
          <w:b/>
          <w:color w:val="123B5D"/>
          <w:sz w:val="21"/>
        </w:rPr>
        <w:t xml:space="preserve">COV-004: </w:t>
      </w:r>
      <w:r>
        <w:rPr>
          <w:rFonts w:ascii="Calibri" w:hAnsi="Calibri"/>
          <w:b w:val="0"/>
          <w:color w:val="24313A"/>
          <w:sz w:val="21"/>
        </w:rPr>
        <w:t>Only Super Admin may make the leave decision and use an authorized override with a recorded reason.</w:t>
      </w:r>
    </w:p>
    <w:p>
      <w:pPr>
        <w:pStyle w:val="Requirement"/>
      </w:pPr>
      <w:r>
        <w:rPr>
          <w:rFonts w:ascii="Calibri" w:hAnsi="Calibri"/>
          <w:b/>
          <w:color w:val="123B5D"/>
          <w:sz w:val="21"/>
        </w:rPr>
        <w:t xml:space="preserve">REP-001: </w:t>
      </w:r>
      <w:r>
        <w:rPr>
          <w:rFonts w:ascii="Calibri" w:hAnsi="Calibri"/>
          <w:b w:val="0"/>
          <w:color w:val="24313A"/>
          <w:sz w:val="21"/>
        </w:rPr>
        <w:t>Replacement suggestions must consider matching skill, proficiency, certification, designation, availability, workload, assignments, location, working hours, restrictions, leave, and optional geography where data/rules exist.</w:t>
      </w:r>
    </w:p>
    <w:p>
      <w:pPr>
        <w:pStyle w:val="Requirement"/>
      </w:pPr>
      <w:r>
        <w:rPr>
          <w:rFonts w:ascii="Calibri" w:hAnsi="Calibri"/>
          <w:b/>
          <w:color w:val="123B5D"/>
          <w:sz w:val="21"/>
        </w:rPr>
        <w:t xml:space="preserve">REP-002: </w:t>
      </w:r>
      <w:r>
        <w:rPr>
          <w:rFonts w:ascii="Calibri" w:hAnsi="Calibri"/>
          <w:b w:val="0"/>
          <w:color w:val="24313A"/>
          <w:sz w:val="21"/>
        </w:rPr>
        <w:t>Geographic distance may rank candidates but must not make the final decision.</w:t>
      </w:r>
    </w:p>
    <w:p>
      <w:pPr>
        <w:pStyle w:val="Requirement"/>
      </w:pPr>
      <w:r>
        <w:rPr>
          <w:rFonts w:ascii="Calibri" w:hAnsi="Calibri"/>
          <w:b/>
          <w:color w:val="123B5D"/>
          <w:sz w:val="21"/>
        </w:rPr>
        <w:t xml:space="preserve">REP-003: </w:t>
      </w:r>
      <w:r>
        <w:rPr>
          <w:rFonts w:ascii="Calibri" w:hAnsi="Calibri"/>
          <w:b w:val="0"/>
          <w:color w:val="24313A"/>
          <w:sz w:val="21"/>
        </w:rPr>
        <w:t>Admin must be able to submit a scoped replacement request after reviewing candidates.</w:t>
      </w:r>
    </w:p>
    <w:p>
      <w:pPr>
        <w:pStyle w:val="Requirement"/>
      </w:pPr>
      <w:r>
        <w:rPr>
          <w:rFonts w:ascii="Calibri" w:hAnsi="Calibri"/>
          <w:b/>
          <w:color w:val="123B5D"/>
          <w:sz w:val="21"/>
        </w:rPr>
        <w:t xml:space="preserve">REP-004: </w:t>
      </w:r>
      <w:r>
        <w:rPr>
          <w:rFonts w:ascii="Calibri" w:hAnsi="Calibri"/>
          <w:b w:val="0"/>
          <w:color w:val="24313A"/>
          <w:sz w:val="21"/>
        </w:rPr>
        <w:t>Only Super Admin must approve, change, or reject an Admin replacement request.</w:t>
      </w:r>
    </w:p>
    <w:p>
      <w:pPr>
        <w:pStyle w:val="Requirement"/>
      </w:pPr>
      <w:r>
        <w:rPr>
          <w:rFonts w:ascii="Calibri" w:hAnsi="Calibri"/>
          <w:b/>
          <w:color w:val="123B5D"/>
          <w:sz w:val="21"/>
        </w:rPr>
        <w:t xml:space="preserve">REP-005: </w:t>
      </w:r>
      <w:r>
        <w:rPr>
          <w:rFonts w:ascii="Calibri" w:hAnsi="Calibri"/>
          <w:b w:val="0"/>
          <w:color w:val="24313A"/>
          <w:sz w:val="21"/>
        </w:rPr>
        <w:t>An approved replacement must update the applicable schedule state and notify affected users at the appropriate publication stage.</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9360"/>
      </w:tblGrid>
      <w:tr>
        <w:tc>
          <w:tcPr>
            <w:tcW w:type="dxa" w:w="9360"/>
            <w:shd w:fill="FBF3E2"/>
            <w:tcMar>
              <w:top w:w="80" w:type="dxa"/>
              <w:start w:w="120" w:type="dxa"/>
              <w:bottom w:w="80" w:type="dxa"/>
              <w:end w:w="120" w:type="dxa"/>
            </w:tcMar>
            <w:vAlign w:val="center"/>
          </w:tcPr>
          <w:p>
            <w:pPr>
              <w:spacing w:before="0" w:after="40" w:line="240" w:lineRule="auto"/>
            </w:pPr>
            <w:r>
              <w:rPr>
                <w:rFonts w:ascii="Calibri" w:hAnsi="Calibri"/>
                <w:b/>
                <w:color w:val="24313A"/>
                <w:sz w:val="21"/>
              </w:rPr>
              <w:t xml:space="preserve">Scarce-skill acceptance scenario: </w:t>
            </w:r>
            <w:r>
              <w:rPr>
                <w:rFonts w:ascii="Calibri" w:hAnsi="Calibri"/>
                <w:b w:val="0"/>
                <w:color w:val="24313A"/>
                <w:sz w:val="21"/>
              </w:rPr>
              <w:t>If one of two software developers is already on approved leave and the other requests overlapping dates, the system clearly reports that approval would leave zero software developers available for the affected dates.</w:t>
            </w:r>
          </w:p>
        </w:tc>
      </w:tr>
    </w:tbl>
    <w:p>
      <w:pPr>
        <w:spacing w:after="0"/>
      </w:pPr>
    </w:p>
    <w:p>
      <w:pPr>
        <w:pStyle w:val="Heading1"/>
      </w:pPr>
      <w:r>
        <w:t>20. Notes and Communication</w:t>
      </w:r>
    </w:p>
    <w:p>
      <w:r>
        <w:t>Three models remain intentionally simple: hierarchical employee-management notes, company-shared project/client notes, and participant-only assignment/request discussions.</w:t>
      </w:r>
    </w:p>
    <w:p>
      <w:pPr>
        <w:pStyle w:val="Requirement"/>
      </w:pPr>
      <w:r>
        <w:rPr>
          <w:rFonts w:ascii="Calibri" w:hAnsi="Calibri"/>
          <w:b/>
          <w:color w:val="123B5D"/>
          <w:sz w:val="21"/>
        </w:rPr>
        <w:t xml:space="preserve">NTE-001: </w:t>
      </w:r>
      <w:r>
        <w:rPr>
          <w:rFonts w:ascii="Calibri" w:hAnsi="Calibri"/>
          <w:b w:val="0"/>
          <w:color w:val="24313A"/>
          <w:sz w:val="21"/>
        </w:rPr>
        <w:t>Super Admin may create employee-management notes about Admins or Employees; Admin may create them only about Employees within scope; Employee may not create them.</w:t>
      </w:r>
    </w:p>
    <w:p>
      <w:pPr>
        <w:pStyle w:val="Requirement"/>
      </w:pPr>
      <w:r>
        <w:rPr>
          <w:rFonts w:ascii="Calibri" w:hAnsi="Calibri"/>
          <w:b/>
          <w:color w:val="123B5D"/>
          <w:sz w:val="21"/>
        </w:rPr>
        <w:t xml:space="preserve">NTE-002: </w:t>
      </w:r>
      <w:r>
        <w:rPr>
          <w:rFonts w:ascii="Calibri" w:hAnsi="Calibri"/>
          <w:b w:val="0"/>
          <w:color w:val="24313A"/>
          <w:sz w:val="21"/>
        </w:rPr>
        <w:t>The author must choose Private to author or Shared upward; the subject Employee must never see the note.</w:t>
      </w:r>
    </w:p>
    <w:p>
      <w:pPr>
        <w:pStyle w:val="Requirement"/>
      </w:pPr>
      <w:r>
        <w:rPr>
          <w:rFonts w:ascii="Calibri" w:hAnsi="Calibri"/>
          <w:b/>
          <w:color w:val="123B5D"/>
          <w:sz w:val="21"/>
        </w:rPr>
        <w:t xml:space="preserve">NTE-003: </w:t>
      </w:r>
      <w:r>
        <w:rPr>
          <w:rFonts w:ascii="Calibri" w:hAnsi="Calibri"/>
          <w:b w:val="0"/>
          <w:color w:val="24313A"/>
          <w:sz w:val="21"/>
        </w:rPr>
        <w:t>Shared upward must mean the author and higher authorized roles only, subject to scope.</w:t>
      </w:r>
    </w:p>
    <w:p>
      <w:pPr>
        <w:pStyle w:val="Requirement"/>
      </w:pPr>
      <w:r>
        <w:rPr>
          <w:rFonts w:ascii="Calibri" w:hAnsi="Calibri"/>
          <w:b/>
          <w:color w:val="123B5D"/>
          <w:sz w:val="21"/>
        </w:rPr>
        <w:t xml:space="preserve">NTE-004: </w:t>
      </w:r>
      <w:r>
        <w:rPr>
          <w:rFonts w:ascii="Calibri" w:hAnsi="Calibri"/>
          <w:b w:val="0"/>
          <w:color w:val="24313A"/>
          <w:sz w:val="21"/>
        </w:rPr>
        <w:t>Each employee-management note must record subject, author, author role at creation, visibility, created/updated time, history/audit reference, and archive/delete state.</w:t>
      </w:r>
    </w:p>
    <w:p>
      <w:pPr>
        <w:pStyle w:val="Requirement"/>
      </w:pPr>
      <w:r>
        <w:rPr>
          <w:rFonts w:ascii="Calibri" w:hAnsi="Calibri"/>
          <w:b/>
          <w:color w:val="123B5D"/>
          <w:sz w:val="21"/>
        </w:rPr>
        <w:t xml:space="preserve">NTE-005: </w:t>
      </w:r>
      <w:r>
        <w:rPr>
          <w:rFonts w:ascii="Calibri" w:hAnsi="Calibri"/>
          <w:b w:val="0"/>
          <w:color w:val="24313A"/>
          <w:sz w:val="21"/>
        </w:rPr>
        <w:t>Every authenticated user must be able to read and add work-related project and client notes.</w:t>
      </w:r>
    </w:p>
    <w:p>
      <w:pPr>
        <w:pStyle w:val="Requirement"/>
      </w:pPr>
      <w:r>
        <w:rPr>
          <w:rFonts w:ascii="Calibri" w:hAnsi="Calibri"/>
          <w:b/>
          <w:color w:val="123B5D"/>
          <w:sz w:val="21"/>
        </w:rPr>
        <w:t xml:space="preserve">NTE-006: </w:t>
      </w:r>
      <w:r>
        <w:rPr>
          <w:rFonts w:ascii="Calibri" w:hAnsi="Calibri"/>
          <w:b w:val="0"/>
          <w:color w:val="24313A"/>
          <w:sz w:val="21"/>
        </w:rPr>
        <w:t>Project/client notes must remain a simple shared model and record parent, author, timestamps, content, and edit/deletion history; edit rights are open.</w:t>
      </w:r>
    </w:p>
    <w:p>
      <w:pPr>
        <w:pStyle w:val="Requirement"/>
      </w:pPr>
      <w:r>
        <w:rPr>
          <w:rFonts w:ascii="Calibri" w:hAnsi="Calibri"/>
          <w:b/>
          <w:color w:val="123B5D"/>
          <w:sz w:val="21"/>
        </w:rPr>
        <w:t xml:space="preserve">COM-001: </w:t>
      </w:r>
      <w:r>
        <w:rPr>
          <w:rFonts w:ascii="Calibri" w:hAnsi="Calibri"/>
          <w:b w:val="0"/>
          <w:color w:val="24313A"/>
          <w:sz w:val="21"/>
        </w:rPr>
        <w:t>Assignment/request discussions must be separate from general notes and visible only to requester and assigned employee(s).</w:t>
      </w:r>
    </w:p>
    <w:p>
      <w:pPr>
        <w:pStyle w:val="Requirement"/>
      </w:pPr>
      <w:r>
        <w:rPr>
          <w:rFonts w:ascii="Calibri" w:hAnsi="Calibri"/>
          <w:b/>
          <w:color w:val="123B5D"/>
          <w:sz w:val="21"/>
        </w:rPr>
        <w:t xml:space="preserve">COM-002: </w:t>
      </w:r>
      <w:r>
        <w:rPr>
          <w:rFonts w:ascii="Calibri" w:hAnsi="Calibri"/>
          <w:b w:val="0"/>
          <w:color w:val="24313A"/>
          <w:sz w:val="21"/>
        </w:rPr>
        <w:t>A new private discussion message must notify the other participant(s).</w:t>
      </w:r>
    </w:p>
    <w:p>
      <w:pPr>
        <w:pStyle w:val="Heading1"/>
      </w:pPr>
      <w:r>
        <w:t>21. Notifications</w:t>
      </w:r>
    </w:p>
    <w:p>
      <w:r>
        <w:t>Version 1 uses an in-application notification centre. External channels remain provider-neutral future decisions.</w:t>
      </w:r>
    </w:p>
    <w:p>
      <w:pPr>
        <w:pStyle w:val="Requirement"/>
      </w:pPr>
      <w:r>
        <w:rPr>
          <w:rFonts w:ascii="Calibri" w:hAnsi="Calibri"/>
          <w:b/>
          <w:color w:val="123B5D"/>
          <w:sz w:val="21"/>
        </w:rPr>
        <w:t xml:space="preserve">NOT-001: </w:t>
      </w:r>
      <w:r>
        <w:rPr>
          <w:rFonts w:ascii="Calibri" w:hAnsi="Calibri"/>
          <w:b w:val="0"/>
          <w:color w:val="24313A"/>
          <w:sz w:val="21"/>
        </w:rPr>
        <w:t>Version 1 must provide an in-application notification centre with read/unread, related record, timestamp, direct navigation, and optional archive state.</w:t>
      </w:r>
    </w:p>
    <w:p>
      <w:pPr>
        <w:pStyle w:val="Requirement"/>
      </w:pPr>
      <w:r>
        <w:rPr>
          <w:rFonts w:ascii="Calibri" w:hAnsi="Calibri"/>
          <w:b/>
          <w:color w:val="123B5D"/>
          <w:sz w:val="21"/>
        </w:rPr>
        <w:t xml:space="preserve">NOT-002: </w:t>
      </w:r>
      <w:r>
        <w:rPr>
          <w:rFonts w:ascii="Calibri" w:hAnsi="Calibri"/>
          <w:b w:val="0"/>
          <w:color w:val="24313A"/>
          <w:sz w:val="21"/>
        </w:rPr>
        <w:t>Confirmed events must include certification/portfolio changes, leave submission/decision, replacement request/decision, schedule publication/change, and private discussion messages.</w:t>
      </w:r>
    </w:p>
    <w:p>
      <w:pPr>
        <w:pStyle w:val="Requirement"/>
      </w:pPr>
      <w:r>
        <w:rPr>
          <w:rFonts w:ascii="Calibri" w:hAnsi="Calibri"/>
          <w:b/>
          <w:color w:val="123B5D"/>
          <w:sz w:val="21"/>
        </w:rPr>
        <w:t xml:space="preserve">NOT-003: </w:t>
      </w:r>
      <w:r>
        <w:rPr>
          <w:rFonts w:ascii="Calibri" w:hAnsi="Calibri"/>
          <w:b w:val="0"/>
          <w:color w:val="24313A"/>
          <w:sz w:val="21"/>
        </w:rPr>
        <w:t>External email, Microsoft, Google, mobile push, WhatsApp, and other channels must remain future decisions.</w:t>
      </w:r>
    </w:p>
    <w:p>
      <w:pPr>
        <w:pStyle w:val="Heading1"/>
      </w:pPr>
      <w:r>
        <w:t>22. Dashboards and Principal Screens</w:t>
      </w:r>
    </w:p>
    <w:p>
      <w:r>
        <w:t>Management screens include workforce, operational, planning, leave, coverage, map, notification, reporting and settings views. Employee navigation focuses on personal schedule, leave, profile/capabilities, shared client/project context, notifications, and requests.</w:t>
      </w:r>
    </w:p>
    <w:p>
      <w:pPr>
        <w:pStyle w:val="Requirement"/>
      </w:pPr>
      <w:r>
        <w:rPr>
          <w:rFonts w:ascii="Calibri" w:hAnsi="Calibri"/>
          <w:b/>
          <w:color w:val="123B5D"/>
          <w:sz w:val="21"/>
        </w:rPr>
        <w:t xml:space="preserve">UI-001: </w:t>
      </w:r>
      <w:r>
        <w:rPr>
          <w:rFonts w:ascii="Calibri" w:hAnsi="Calibri"/>
          <w:b w:val="0"/>
          <w:color w:val="24313A"/>
          <w:sz w:val="21"/>
        </w:rPr>
        <w:t>Management navigation must cover dashboard, employees/capabilities, clients, projects, locations, schedule, planning map, leave, coverage, replacements, notifications, reports/settings, and a clearly later Ticket System entry.</w:t>
      </w:r>
    </w:p>
    <w:p>
      <w:pPr>
        <w:pStyle w:val="Requirement"/>
      </w:pPr>
      <w:r>
        <w:rPr>
          <w:rFonts w:ascii="Calibri" w:hAnsi="Calibri"/>
          <w:b/>
          <w:color w:val="123B5D"/>
          <w:sz w:val="21"/>
        </w:rPr>
        <w:t xml:space="preserve">UI-002: </w:t>
      </w:r>
      <w:r>
        <w:rPr>
          <w:rFonts w:ascii="Calibri" w:hAnsi="Calibri"/>
          <w:b w:val="0"/>
          <w:color w:val="24313A"/>
          <w:sz w:val="21"/>
        </w:rPr>
        <w:t>Employee navigation must remain focused on dashboard, schedule, leave, profile/capabilities, clients/projects, notifications, requests/assignments, and later tickets.</w:t>
      </w:r>
    </w:p>
    <w:p>
      <w:pPr>
        <w:pStyle w:val="Requirement"/>
      </w:pPr>
      <w:r>
        <w:rPr>
          <w:rFonts w:ascii="Calibri" w:hAnsi="Calibri"/>
          <w:b/>
          <w:color w:val="123B5D"/>
          <w:sz w:val="21"/>
        </w:rPr>
        <w:t xml:space="preserve">UI-003: </w:t>
      </w:r>
      <w:r>
        <w:rPr>
          <w:rFonts w:ascii="Calibri" w:hAnsi="Calibri"/>
          <w:b w:val="0"/>
          <w:color w:val="24313A"/>
          <w:sz w:val="21"/>
        </w:rPr>
        <w:t>Dashboards must respect role, scope, publication state, and privacy rules in every card/count/list.</w:t>
      </w:r>
    </w:p>
    <w:p>
      <w:pPr>
        <w:pStyle w:val="Heading1"/>
      </w:pPr>
      <w:r>
        <w:t>23. Ticket System Future Integration</w:t>
      </w:r>
    </w:p>
    <w:p>
      <w:r>
        <w:t>Ticket functionality is a bounded Phase 9 feature. Ticket, assignment, schedule, work log, project, and client are linked but distinct.</w:t>
      </w:r>
    </w:p>
    <w:p>
      <w:pPr>
        <w:pStyle w:val="Requirement"/>
      </w:pPr>
      <w:r>
        <w:rPr>
          <w:rFonts w:ascii="Calibri" w:hAnsi="Calibri"/>
          <w:b/>
          <w:color w:val="123B5D"/>
          <w:sz w:val="21"/>
        </w:rPr>
        <w:t xml:space="preserve">TKT-001: </w:t>
      </w:r>
      <w:r>
        <w:rPr>
          <w:rFonts w:ascii="Calibri" w:hAnsi="Calibri"/>
          <w:b w:val="0"/>
          <w:color w:val="24313A"/>
          <w:sz w:val="21"/>
        </w:rPr>
        <w:t>Ticket integration must occur only in Phase 9 after the workforce modules are stable.</w:t>
      </w:r>
    </w:p>
    <w:p>
      <w:pPr>
        <w:pStyle w:val="Requirement"/>
      </w:pPr>
      <w:r>
        <w:rPr>
          <w:rFonts w:ascii="Calibri" w:hAnsi="Calibri"/>
          <w:b/>
          <w:color w:val="123B5D"/>
          <w:sz w:val="21"/>
        </w:rPr>
        <w:t xml:space="preserve">TKT-002: </w:t>
      </w:r>
      <w:r>
        <w:rPr>
          <w:rFonts w:ascii="Calibri" w:hAnsi="Calibri"/>
          <w:b w:val="0"/>
          <w:color w:val="24313A"/>
          <w:sz w:val="21"/>
        </w:rPr>
        <w:t>The existing Ticket System must not be cloned, modified, or used as the new system foundation during the documentation phase.</w:t>
      </w:r>
    </w:p>
    <w:p>
      <w:pPr>
        <w:pStyle w:val="Requirement"/>
      </w:pPr>
      <w:r>
        <w:rPr>
          <w:rFonts w:ascii="Calibri" w:hAnsi="Calibri"/>
          <w:b/>
          <w:color w:val="123B5D"/>
          <w:sz w:val="21"/>
        </w:rPr>
        <w:t xml:space="preserve">TKT-003: </w:t>
      </w:r>
      <w:r>
        <w:rPr>
          <w:rFonts w:ascii="Calibri" w:hAnsi="Calibri"/>
          <w:b w:val="0"/>
          <w:color w:val="24313A"/>
          <w:sz w:val="21"/>
        </w:rPr>
        <w:t>A future ticket may link to Client, Project, Location, requester, assignee(s), required skills, due date, schedule assignment, work logs, and attachments.</w:t>
      </w:r>
    </w:p>
    <w:p>
      <w:pPr>
        <w:pStyle w:val="Requirement"/>
      </w:pPr>
      <w:r>
        <w:rPr>
          <w:rFonts w:ascii="Calibri" w:hAnsi="Calibri"/>
          <w:b/>
          <w:color w:val="123B5D"/>
          <w:sz w:val="21"/>
        </w:rPr>
        <w:t xml:space="preserve">TKT-004: </w:t>
      </w:r>
      <w:r>
        <w:rPr>
          <w:rFonts w:ascii="Calibri" w:hAnsi="Calibri"/>
          <w:b w:val="0"/>
          <w:color w:val="24313A"/>
          <w:sz w:val="21"/>
        </w:rPr>
        <w:t>Ticket status, assignment status, schedule state, and work-log completion must remain distinct.</w:t>
      </w:r>
    </w:p>
    <w:p>
      <w:pPr>
        <w:pStyle w:val="Requirement"/>
      </w:pPr>
      <w:r>
        <w:rPr>
          <w:rFonts w:ascii="Calibri" w:hAnsi="Calibri"/>
          <w:b/>
          <w:color w:val="123B5D"/>
          <w:sz w:val="21"/>
        </w:rPr>
        <w:t xml:space="preserve">TKT-005: </w:t>
      </w:r>
      <w:r>
        <w:rPr>
          <w:rFonts w:ascii="Calibri" w:hAnsi="Calibri"/>
          <w:b w:val="0"/>
          <w:color w:val="24313A"/>
          <w:sz w:val="21"/>
        </w:rPr>
        <w:t>Phase 9 must inspect reusable candidates and preserve the workforce system's roles, scopes, privacy, storage choices, and domain boundaries.</w:t>
      </w:r>
    </w:p>
    <w:p>
      <w:pPr>
        <w:pStyle w:val="Heading1"/>
      </w:pPr>
      <w:r>
        <w:t>24. Functional Requirements Cross-Reference</w:t>
      </w:r>
    </w:p>
    <w:p>
      <w:r>
        <w:t>Requirement identifiers are grouped by domain so later test plans can trace functionality without relying on prose alone.</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1800"/>
        <w:gridCol w:w="3300"/>
        <w:gridCol w:w="4260"/>
      </w:tblGrid>
      <w:tr>
        <w:trPr>
          <w:tblHeader w:val="true"/>
        </w:trPr>
        <w:tc>
          <w:tcPr>
            <w:tcW w:type="dxa" w:w="18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Prefix</w:t>
            </w:r>
          </w:p>
        </w:tc>
        <w:tc>
          <w:tcPr>
            <w:tcW w:type="dxa" w:w="33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Domain</w:t>
            </w:r>
          </w:p>
        </w:tc>
        <w:tc>
          <w:tcPr>
            <w:tcW w:type="dxa" w:w="426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Primary dependencies</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ROL/AUD</w:t>
            </w:r>
          </w:p>
        </w:tc>
        <w:tc>
          <w:tcPr>
            <w:tcW w:type="dxa" w:w="3300"/>
            <w:tcMar>
              <w:top w:w="80" w:type="dxa"/>
              <w:start w:w="120" w:type="dxa"/>
              <w:bottom w:w="80" w:type="dxa"/>
              <w:end w:w="120" w:type="dxa"/>
            </w:tcMar>
            <w:vAlign w:val="center"/>
          </w:tcPr>
          <w:p>
            <w:pPr>
              <w:spacing w:before="0" w:after="40" w:line="240" w:lineRule="auto"/>
            </w:pPr>
            <w:r>
              <w:rPr>
                <w:rFonts w:ascii="Calibri" w:hAnsi="Calibri"/>
                <w:color w:val="24313A"/>
                <w:sz w:val="17"/>
              </w:rPr>
              <w:t>Role, scope, audit</w:t>
            </w:r>
          </w:p>
        </w:tc>
        <w:tc>
          <w:tcPr>
            <w:tcW w:type="dxa" w:w="4260"/>
            <w:tcMar>
              <w:top w:w="80" w:type="dxa"/>
              <w:start w:w="120" w:type="dxa"/>
              <w:bottom w:w="80" w:type="dxa"/>
              <w:end w:w="120" w:type="dxa"/>
            </w:tcMar>
            <w:vAlign w:val="center"/>
          </w:tcPr>
          <w:p>
            <w:pPr>
              <w:spacing w:before="0" w:after="40" w:line="240" w:lineRule="auto"/>
            </w:pPr>
            <w:r>
              <w:rPr>
                <w:rFonts w:ascii="Calibri" w:hAnsi="Calibri"/>
                <w:color w:val="24313A"/>
                <w:sz w:val="17"/>
              </w:rPr>
              <w:t>All modules</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EMP/SKL/CER/ARR</w:t>
            </w:r>
          </w:p>
        </w:tc>
        <w:tc>
          <w:tcPr>
            <w:tcW w:type="dxa" w:w="3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Workforce capability</w:t>
            </w:r>
          </w:p>
        </w:tc>
        <w:tc>
          <w:tcPr>
            <w:tcW w:type="dxa" w:w="42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Identity/audit; before staffing</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CLI/PRJ/LOC/REL</w:t>
            </w:r>
          </w:p>
        </w:tc>
        <w:tc>
          <w:tcPr>
            <w:tcW w:type="dxa" w:w="3300"/>
            <w:tcMar>
              <w:top w:w="80" w:type="dxa"/>
              <w:start w:w="120" w:type="dxa"/>
              <w:bottom w:w="80" w:type="dxa"/>
              <w:end w:w="120" w:type="dxa"/>
            </w:tcMar>
            <w:vAlign w:val="center"/>
          </w:tcPr>
          <w:p>
            <w:pPr>
              <w:spacing w:before="0" w:after="40" w:line="240" w:lineRule="auto"/>
            </w:pPr>
            <w:r>
              <w:rPr>
                <w:rFonts w:ascii="Calibri" w:hAnsi="Calibri"/>
                <w:color w:val="24313A"/>
                <w:sz w:val="17"/>
              </w:rPr>
              <w:t>Operational hierarchy</w:t>
            </w:r>
          </w:p>
        </w:tc>
        <w:tc>
          <w:tcPr>
            <w:tcW w:type="dxa" w:w="4260"/>
            <w:tcMar>
              <w:top w:w="80" w:type="dxa"/>
              <w:start w:w="120" w:type="dxa"/>
              <w:bottom w:w="80" w:type="dxa"/>
              <w:end w:w="120" w:type="dxa"/>
            </w:tcMar>
            <w:vAlign w:val="center"/>
          </w:tcPr>
          <w:p>
            <w:pPr>
              <w:spacing w:before="0" w:after="40" w:line="240" w:lineRule="auto"/>
            </w:pPr>
            <w:r>
              <w:rPr>
                <w:rFonts w:ascii="Calibri" w:hAnsi="Calibri"/>
                <w:color w:val="24313A"/>
                <w:sz w:val="17"/>
              </w:rPr>
              <w:t>Employees/skills; before schedule</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SCH</w:t>
            </w:r>
          </w:p>
        </w:tc>
        <w:tc>
          <w:tcPr>
            <w:tcW w:type="dxa" w:w="3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Scheduling/publication</w:t>
            </w:r>
          </w:p>
        </w:tc>
        <w:tc>
          <w:tcPr>
            <w:tcW w:type="dxa" w:w="42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Operational hierarchy</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LEV</w:t>
            </w:r>
          </w:p>
        </w:tc>
        <w:tc>
          <w:tcPr>
            <w:tcW w:type="dxa" w:w="3300"/>
            <w:tcMar>
              <w:top w:w="80" w:type="dxa"/>
              <w:start w:w="120" w:type="dxa"/>
              <w:bottom w:w="80" w:type="dxa"/>
              <w:end w:w="120" w:type="dxa"/>
            </w:tcMar>
            <w:vAlign w:val="center"/>
          </w:tcPr>
          <w:p>
            <w:pPr>
              <w:spacing w:before="0" w:after="40" w:line="240" w:lineRule="auto"/>
            </w:pPr>
            <w:r>
              <w:rPr>
                <w:rFonts w:ascii="Calibri" w:hAnsi="Calibri"/>
                <w:color w:val="24313A"/>
                <w:sz w:val="17"/>
              </w:rPr>
              <w:t>Leave/availability</w:t>
            </w:r>
          </w:p>
        </w:tc>
        <w:tc>
          <w:tcPr>
            <w:tcW w:type="dxa" w:w="4260"/>
            <w:tcMar>
              <w:top w:w="80" w:type="dxa"/>
              <w:start w:w="120" w:type="dxa"/>
              <w:bottom w:w="80" w:type="dxa"/>
              <w:end w:w="120" w:type="dxa"/>
            </w:tcMar>
            <w:vAlign w:val="center"/>
          </w:tcPr>
          <w:p>
            <w:pPr>
              <w:spacing w:before="0" w:after="40" w:line="240" w:lineRule="auto"/>
            </w:pPr>
            <w:r>
              <w:rPr>
                <w:rFonts w:ascii="Calibri" w:hAnsi="Calibri"/>
                <w:color w:val="24313A"/>
                <w:sz w:val="17"/>
              </w:rPr>
              <w:t>Scheduling</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COV/REP</w:t>
            </w:r>
          </w:p>
        </w:tc>
        <w:tc>
          <w:tcPr>
            <w:tcW w:type="dxa" w:w="3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Coverage/replacement</w:t>
            </w:r>
          </w:p>
        </w:tc>
        <w:tc>
          <w:tcPr>
            <w:tcW w:type="dxa" w:w="42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Skills + schedule + leave</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MAP</w:t>
            </w:r>
          </w:p>
        </w:tc>
        <w:tc>
          <w:tcPr>
            <w:tcW w:type="dxa" w:w="3300"/>
            <w:tcMar>
              <w:top w:w="80" w:type="dxa"/>
              <w:start w:w="120" w:type="dxa"/>
              <w:bottom w:w="80" w:type="dxa"/>
              <w:end w:w="120" w:type="dxa"/>
            </w:tcMar>
            <w:vAlign w:val="center"/>
          </w:tcPr>
          <w:p>
            <w:pPr>
              <w:spacing w:before="0" w:after="40" w:line="240" w:lineRule="auto"/>
            </w:pPr>
            <w:r>
              <w:rPr>
                <w:rFonts w:ascii="Calibri" w:hAnsi="Calibri"/>
                <w:color w:val="24313A"/>
                <w:sz w:val="17"/>
              </w:rPr>
              <w:t>Static planning map</w:t>
            </w:r>
          </w:p>
        </w:tc>
        <w:tc>
          <w:tcPr>
            <w:tcW w:type="dxa" w:w="4260"/>
            <w:tcMar>
              <w:top w:w="80" w:type="dxa"/>
              <w:start w:w="120" w:type="dxa"/>
              <w:bottom w:w="80" w:type="dxa"/>
              <w:end w:w="120" w:type="dxa"/>
            </w:tcMar>
            <w:vAlign w:val="center"/>
          </w:tcPr>
          <w:p>
            <w:pPr>
              <w:spacing w:before="0" w:after="40" w:line="240" w:lineRule="auto"/>
            </w:pPr>
            <w:r>
              <w:rPr>
                <w:rFonts w:ascii="Calibri" w:hAnsi="Calibri"/>
                <w:color w:val="24313A"/>
                <w:sz w:val="17"/>
              </w:rPr>
              <w:t>Published schedule + stored coordinates</w:t>
            </w:r>
          </w:p>
        </w:tc>
      </w:tr>
      <w:tr>
        <w:tc>
          <w:tcPr>
            <w:tcW w:type="dxa" w:w="18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NTE/COM/NOT/UI</w:t>
            </w:r>
          </w:p>
        </w:tc>
        <w:tc>
          <w:tcPr>
            <w:tcW w:type="dxa" w:w="33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Collaboration and views</w:t>
            </w:r>
          </w:p>
        </w:tc>
        <w:tc>
          <w:tcPr>
            <w:tcW w:type="dxa" w:w="42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Stable source workflows</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color w:val="24313A"/>
                <w:sz w:val="17"/>
              </w:rPr>
              <w:t>TKT</w:t>
            </w:r>
          </w:p>
        </w:tc>
        <w:tc>
          <w:tcPr>
            <w:tcW w:type="dxa" w:w="3300"/>
            <w:tcMar>
              <w:top w:w="80" w:type="dxa"/>
              <w:start w:w="120" w:type="dxa"/>
              <w:bottom w:w="80" w:type="dxa"/>
              <w:end w:w="120" w:type="dxa"/>
            </w:tcMar>
            <w:vAlign w:val="center"/>
          </w:tcPr>
          <w:p>
            <w:pPr>
              <w:spacing w:before="0" w:after="40" w:line="240" w:lineRule="auto"/>
            </w:pPr>
            <w:r>
              <w:rPr>
                <w:rFonts w:ascii="Calibri" w:hAnsi="Calibri"/>
                <w:color w:val="24313A"/>
                <w:sz w:val="17"/>
              </w:rPr>
              <w:t>Future ticket feature</w:t>
            </w:r>
          </w:p>
        </w:tc>
        <w:tc>
          <w:tcPr>
            <w:tcW w:type="dxa" w:w="4260"/>
            <w:tcMar>
              <w:top w:w="80" w:type="dxa"/>
              <w:start w:w="120" w:type="dxa"/>
              <w:bottom w:w="80" w:type="dxa"/>
              <w:end w:w="120" w:type="dxa"/>
            </w:tcMar>
            <w:vAlign w:val="center"/>
          </w:tcPr>
          <w:p>
            <w:pPr>
              <w:spacing w:before="0" w:after="40" w:line="240" w:lineRule="auto"/>
            </w:pPr>
            <w:r>
              <w:rPr>
                <w:rFonts w:ascii="Calibri" w:hAnsi="Calibri"/>
                <w:color w:val="24313A"/>
                <w:sz w:val="17"/>
              </w:rPr>
              <w:t>Phases 1-8 complete</w:t>
            </w:r>
          </w:p>
        </w:tc>
      </w:tr>
    </w:tbl>
    <w:p>
      <w:pPr>
        <w:pStyle w:val="Heading1"/>
      </w:pPr>
      <w:r>
        <w:t>25. Permission Requirements</w:t>
      </w:r>
    </w:p>
    <w:p>
      <w:r>
        <w:t>Every view, count, export, search, map result, and mutation must enforce the same role/scope/privacy rules. Interface hiding alone is insufficient.</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4300"/>
        <w:gridCol w:w="1680"/>
        <w:gridCol w:w="1680"/>
        <w:gridCol w:w="1700"/>
      </w:tblGrid>
      <w:tr>
        <w:trPr>
          <w:tblHeader w:val="true"/>
        </w:trPr>
        <w:tc>
          <w:tcPr>
            <w:tcW w:type="dxa" w:w="430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Capability</w:t>
            </w:r>
          </w:p>
        </w:tc>
        <w:tc>
          <w:tcPr>
            <w:tcW w:type="dxa" w:w="168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Super Admin</w:t>
            </w:r>
          </w:p>
        </w:tc>
        <w:tc>
          <w:tcPr>
            <w:tcW w:type="dxa" w:w="168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Admin</w:t>
            </w:r>
          </w:p>
        </w:tc>
        <w:tc>
          <w:tcPr>
            <w:tcW w:type="dxa" w:w="1700"/>
            <w:tcMar>
              <w:top w:w="80" w:type="dxa"/>
              <w:start w:w="120" w:type="dxa"/>
              <w:bottom w:w="80" w:type="dxa"/>
              <w:end w:w="120" w:type="dxa"/>
            </w:tcMar>
            <w:vAlign w:val="center"/>
            <w:shd w:fill="123B5D"/>
          </w:tcPr>
          <w:p>
            <w:pPr>
              <w:spacing w:before="0" w:after="40" w:line="240" w:lineRule="auto"/>
            </w:pPr>
            <w:r>
              <w:rPr>
                <w:rFonts w:ascii="Calibri" w:hAnsi="Calibri"/>
                <w:b/>
                <w:color w:val="FFFFFF"/>
                <w:sz w:val="16"/>
              </w:rPr>
              <w:t>Employee</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Manage accounts and roles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workforce data</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Global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Own/permitted</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Manage clients/projects/locations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View shared work data</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Create schedule draft</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schedule proposal</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unfinished drafts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All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Own/scoped</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Publish/modify published schedule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View published schedule</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All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Relevant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Own</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own leave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See another employee's leave reason</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When required</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by default</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Approve/reject leave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Recommend leave outcome</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separate workflow</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Define global coverage rules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 unless delegated</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Find replacement candidates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Submit replacement request</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Approve/change/reject replacement</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Override significant warning</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Authorized + reason</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Access static planning map</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Global</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Assigned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Create employee-management note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About Admin/Employee</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Scoped Employee</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No</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Read/add project/client notes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Read request discussion</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Participant only</w:t>
            </w:r>
          </w:p>
        </w:tc>
      </w:tr>
      <w:tr>
        <w:tc>
          <w:tcPr>
            <w:tcW w:type="dxa" w:w="43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Reports/exports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Yes</w:t>
            </w:r>
          </w:p>
        </w:tc>
        <w:tc>
          <w:tcPr>
            <w:tcW w:type="dxa" w:w="168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Later-defined scope</w:t>
            </w:r>
          </w:p>
        </w:tc>
        <w:tc>
          <w:tcPr>
            <w:tcW w:type="dxa" w:w="1700"/>
            <w:tcMar>
              <w:top w:w="80" w:type="dxa"/>
              <w:start w:w="120" w:type="dxa"/>
              <w:bottom w:w="80" w:type="dxa"/>
              <w:end w:w="120" w:type="dxa"/>
            </w:tcMar>
            <w:vAlign w:val="center"/>
            <w:shd w:fill="F5F7F8"/>
          </w:tcPr>
          <w:p>
            <w:pPr>
              <w:spacing w:before="0" w:after="40" w:line="240" w:lineRule="auto"/>
            </w:pPr>
            <w:r>
              <w:rPr>
                <w:rFonts w:ascii="Calibri" w:hAnsi="Calibri"/>
                <w:color w:val="24313A"/>
                <w:sz w:val="16"/>
              </w:rPr>
              <w:t>No unless confirmed</w:t>
            </w:r>
          </w:p>
        </w:tc>
      </w:tr>
      <w:tr>
        <w:tc>
          <w:tcPr>
            <w:tcW w:type="dxa" w:w="4300"/>
            <w:tcMar>
              <w:top w:w="80" w:type="dxa"/>
              <w:start w:w="120" w:type="dxa"/>
              <w:bottom w:w="80" w:type="dxa"/>
              <w:end w:w="120" w:type="dxa"/>
            </w:tcMar>
            <w:vAlign w:val="center"/>
          </w:tcPr>
          <w:p>
            <w:pPr>
              <w:spacing w:before="0" w:after="40" w:line="240" w:lineRule="auto"/>
            </w:pPr>
            <w:r>
              <w:rPr>
                <w:rFonts w:ascii="Calibri" w:hAnsi="Calibri"/>
                <w:color w:val="24313A"/>
                <w:sz w:val="16"/>
              </w:rPr>
              <w:t>Integrated tickets</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Phase 9 global</w:t>
            </w:r>
          </w:p>
        </w:tc>
        <w:tc>
          <w:tcPr>
            <w:tcW w:type="dxa" w:w="1680"/>
            <w:tcMar>
              <w:top w:w="80" w:type="dxa"/>
              <w:start w:w="120" w:type="dxa"/>
              <w:bottom w:w="80" w:type="dxa"/>
              <w:end w:w="120" w:type="dxa"/>
            </w:tcMar>
            <w:vAlign w:val="center"/>
          </w:tcPr>
          <w:p>
            <w:pPr>
              <w:spacing w:before="0" w:after="40" w:line="240" w:lineRule="auto"/>
            </w:pPr>
            <w:r>
              <w:rPr>
                <w:rFonts w:ascii="Calibri" w:hAnsi="Calibri"/>
                <w:color w:val="24313A"/>
                <w:sz w:val="16"/>
              </w:rPr>
              <w:t>Phase 9 scoped</w:t>
            </w:r>
          </w:p>
        </w:tc>
        <w:tc>
          <w:tcPr>
            <w:tcW w:type="dxa" w:w="1700"/>
            <w:tcMar>
              <w:top w:w="80" w:type="dxa"/>
              <w:start w:w="120" w:type="dxa"/>
              <w:bottom w:w="80" w:type="dxa"/>
              <w:end w:w="120" w:type="dxa"/>
            </w:tcMar>
            <w:vAlign w:val="center"/>
          </w:tcPr>
          <w:p>
            <w:pPr>
              <w:spacing w:before="0" w:after="40" w:line="240" w:lineRule="auto"/>
            </w:pPr>
            <w:r>
              <w:rPr>
                <w:rFonts w:ascii="Calibri" w:hAnsi="Calibri"/>
                <w:color w:val="24313A"/>
                <w:sz w:val="16"/>
              </w:rPr>
              <w:t>Phase 9 assigned/owned</w:t>
            </w:r>
          </w:p>
        </w:tc>
      </w:tr>
    </w:tbl>
    <w:p>
      <w:pPr>
        <w:pStyle w:val="Heading1"/>
      </w:pPr>
      <w:r>
        <w:t>26. Privacy and Security Expectations</w:t>
      </w:r>
    </w:p>
    <w:p>
      <w:r>
        <w:t>Home-location information and leave reasons require least-privilege access. Sensitive actions must be auditable. No live location feed, public registration, or cross-scope access is permitted. Mock accounts must be replaceable by a later provider without changing the domain authorization model.</w:t>
      </w:r>
    </w:p>
    <w:p>
      <w:pPr>
        <w:pStyle w:val="ListBullet"/>
      </w:pPr>
      <w:r>
        <w:t>Enforce authorization server-side and test negative paths.</w:t>
      </w:r>
    </w:p>
    <w:p>
      <w:pPr>
        <w:pStyle w:val="ListBullet"/>
      </w:pPr>
      <w:r>
        <w:t>Limit precise address and leave-reason exposure; final address permissions remain open.</w:t>
      </w:r>
    </w:p>
    <w:p>
      <w:pPr>
        <w:pStyle w:val="ListBullet"/>
      </w:pPr>
      <w:r>
        <w:t>Retain auditable history for publication, decisions, overrides, role/scope changes, and note changes.</w:t>
      </w:r>
    </w:p>
    <w:p>
      <w:pPr>
        <w:pStyle w:val="ListBullet"/>
      </w:pPr>
      <w:r>
        <w:t>Define secure upload, file scanning, retention, backup, and recovery controls before production.</w:t>
      </w:r>
    </w:p>
    <w:p>
      <w:pPr>
        <w:pStyle w:val="ListBullet"/>
      </w:pPr>
      <w:r>
        <w:t>Use accessible colors and never rely on color alone for status.</w:t>
      </w:r>
    </w:p>
    <w:p>
      <w:pPr>
        <w:pStyle w:val="Heading1"/>
      </w:pPr>
      <w:r>
        <w:t>27. Non-Functional Expectations</w:t>
      </w:r>
    </w:p>
    <w:p>
      <w:r>
        <w:t>These expectations guide architecture and acceptance but are not implemented in this phase.</w:t>
      </w:r>
    </w:p>
    <w:p>
      <w:pPr>
        <w:pStyle w:val="Requirement"/>
      </w:pPr>
      <w:r>
        <w:rPr>
          <w:rFonts w:ascii="Calibri" w:hAnsi="Calibri"/>
          <w:b/>
          <w:color w:val="123B5D"/>
          <w:sz w:val="21"/>
        </w:rPr>
        <w:t xml:space="preserve">AUT-001: </w:t>
      </w:r>
      <w:r>
        <w:rPr>
          <w:rFonts w:ascii="Calibri" w:hAnsi="Calibri"/>
          <w:b w:val="0"/>
          <w:color w:val="24313A"/>
          <w:sz w:val="21"/>
        </w:rPr>
        <w:t>Version 1 must use mock test accounts/personas without real passwords in documentation.</w:t>
      </w:r>
    </w:p>
    <w:p>
      <w:pPr>
        <w:pStyle w:val="Requirement"/>
      </w:pPr>
      <w:r>
        <w:rPr>
          <w:rFonts w:ascii="Calibri" w:hAnsi="Calibri"/>
          <w:b/>
          <w:color w:val="123B5D"/>
          <w:sz w:val="21"/>
        </w:rPr>
        <w:t xml:space="preserve">AUT-002: </w:t>
      </w:r>
      <w:r>
        <w:rPr>
          <w:rFonts w:ascii="Calibri" w:hAnsi="Calibri"/>
          <w:b w:val="0"/>
          <w:color w:val="24313A"/>
          <w:sz w:val="21"/>
        </w:rPr>
        <w:t>Microsoft, Google, or company-email authentication must remain replaceable future options.</w:t>
      </w:r>
    </w:p>
    <w:p>
      <w:pPr>
        <w:pStyle w:val="Requirement"/>
      </w:pPr>
      <w:r>
        <w:rPr>
          <w:rFonts w:ascii="Calibri" w:hAnsi="Calibri"/>
          <w:b/>
          <w:color w:val="123B5D"/>
          <w:sz w:val="21"/>
        </w:rPr>
        <w:t xml:space="preserve">NFR-001: </w:t>
      </w:r>
      <w:r>
        <w:rPr>
          <w:rFonts w:ascii="Calibri" w:hAnsi="Calibri"/>
          <w:b w:val="0"/>
          <w:color w:val="24313A"/>
          <w:sz w:val="21"/>
        </w:rPr>
        <w:t>The future application must be responsive and usable on desktop and mobile browsers.</w:t>
      </w:r>
    </w:p>
    <w:p>
      <w:pPr>
        <w:pStyle w:val="Requirement"/>
      </w:pPr>
      <w:r>
        <w:rPr>
          <w:rFonts w:ascii="Calibri" w:hAnsi="Calibri"/>
          <w:b/>
          <w:color w:val="123B5D"/>
          <w:sz w:val="21"/>
        </w:rPr>
        <w:t xml:space="preserve">NFR-002: </w:t>
      </w:r>
      <w:r>
        <w:rPr>
          <w:rFonts w:ascii="Calibri" w:hAnsi="Calibri"/>
          <w:b w:val="0"/>
          <w:color w:val="24313A"/>
          <w:sz w:val="21"/>
        </w:rPr>
        <w:t>It must provide clear errors, search/filtering, accessible color usage, schedule consistency, concurrent-user safety, auditability, and maintainable modular design.</w:t>
      </w:r>
    </w:p>
    <w:p>
      <w:pPr>
        <w:pStyle w:val="Requirement"/>
      </w:pPr>
      <w:r>
        <w:rPr>
          <w:rFonts w:ascii="Calibri" w:hAnsi="Calibri"/>
          <w:b/>
          <w:color w:val="123B5D"/>
          <w:sz w:val="21"/>
        </w:rPr>
        <w:t xml:space="preserve">NFR-003: </w:t>
      </w:r>
      <w:r>
        <w:rPr>
          <w:rFonts w:ascii="Calibri" w:hAnsi="Calibri"/>
          <w:b w:val="0"/>
          <w:color w:val="24313A"/>
          <w:sz w:val="21"/>
        </w:rPr>
        <w:t>It must protect leave reasons and home-location data using least-privilege access and auditable sensitive operations.</w:t>
      </w:r>
    </w:p>
    <w:p>
      <w:pPr>
        <w:pStyle w:val="Requirement"/>
      </w:pPr>
      <w:r>
        <w:rPr>
          <w:rFonts w:ascii="Calibri" w:hAnsi="Calibri"/>
          <w:b/>
          <w:color w:val="123B5D"/>
          <w:sz w:val="21"/>
        </w:rPr>
        <w:t xml:space="preserve">NFR-004: </w:t>
      </w:r>
      <w:r>
        <w:rPr>
          <w:rFonts w:ascii="Calibri" w:hAnsi="Calibri"/>
          <w:b w:val="0"/>
          <w:color w:val="24313A"/>
          <w:sz w:val="21"/>
        </w:rPr>
        <w:t>Backup and recovery expectations must be defined before production operation.</w:t>
      </w:r>
    </w:p>
    <w:p>
      <w:pPr>
        <w:pStyle w:val="Requirement"/>
      </w:pPr>
      <w:r>
        <w:rPr>
          <w:rFonts w:ascii="Calibri" w:hAnsi="Calibri"/>
          <w:b/>
          <w:color w:val="123B5D"/>
          <w:sz w:val="21"/>
        </w:rPr>
        <w:t xml:space="preserve">NFR-005: </w:t>
      </w:r>
      <w:r>
        <w:rPr>
          <w:rFonts w:ascii="Calibri" w:hAnsi="Calibri"/>
          <w:b w:val="0"/>
          <w:color w:val="24313A"/>
          <w:sz w:val="21"/>
        </w:rPr>
        <w:t>The architecture must support at least the current 15-20-person team with reasonable growth and allow provider replacement.</w:t>
      </w:r>
    </w:p>
    <w:p>
      <w:pPr>
        <w:pStyle w:val="Heading1"/>
      </w:pPr>
      <w:r>
        <w:t>28. Confirmed Implementation Roadmap</w:t>
      </w:r>
    </w:p>
    <w:p>
      <w:r>
        <w:t>The sequence below is mandatory; Ticket System integration remains the final major phase.</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760"/>
        <w:gridCol w:w="1840"/>
        <w:gridCol w:w="2210"/>
        <w:gridCol w:w="1500"/>
        <w:gridCol w:w="1650"/>
        <w:gridCol w:w="1400"/>
      </w:tblGrid>
      <w:tr>
        <w:trPr>
          <w:tblHeader w:val="true"/>
        </w:trPr>
        <w:tc>
          <w:tcPr>
            <w:tcW w:type="dxa" w:w="76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Phase</w:t>
            </w:r>
          </w:p>
        </w:tc>
        <w:tc>
          <w:tcPr>
            <w:tcW w:type="dxa" w:w="184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Objective</w:t>
            </w:r>
          </w:p>
        </w:tc>
        <w:tc>
          <w:tcPr>
            <w:tcW w:type="dxa" w:w="221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Major deliverables</w:t>
            </w:r>
          </w:p>
        </w:tc>
        <w:tc>
          <w:tcPr>
            <w:tcW w:type="dxa" w:w="150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Entry</w:t>
            </w:r>
          </w:p>
        </w:tc>
        <w:tc>
          <w:tcPr>
            <w:tcW w:type="dxa" w:w="165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Exit</w:t>
            </w:r>
          </w:p>
        </w:tc>
        <w:tc>
          <w:tcPr>
            <w:tcW w:type="dxa" w:w="1400"/>
            <w:tcMar>
              <w:top w:w="80" w:type="dxa"/>
              <w:start w:w="120" w:type="dxa"/>
              <w:bottom w:w="80" w:type="dxa"/>
              <w:end w:w="120" w:type="dxa"/>
            </w:tcMar>
            <w:vAlign w:val="center"/>
            <w:shd w:fill="123B5D"/>
          </w:tcPr>
          <w:p>
            <w:pPr>
              <w:spacing w:before="0" w:after="40" w:line="240" w:lineRule="auto"/>
            </w:pPr>
            <w:r>
              <w:rPr>
                <w:rFonts w:ascii="Calibri" w:hAnsi="Calibri"/>
                <w:b/>
                <w:color w:val="FFFFFF"/>
                <w:sz w:val="15"/>
              </w:rPr>
              <w:t>Excluded</w:t>
            </w:r>
          </w:p>
        </w:tc>
      </w:tr>
      <w:tr>
        <w:tc>
          <w:tcPr>
            <w:tcW w:type="dxa" w:w="760"/>
            <w:tcMar>
              <w:top w:w="80" w:type="dxa"/>
              <w:start w:w="120" w:type="dxa"/>
              <w:bottom w:w="80" w:type="dxa"/>
              <w:end w:w="120" w:type="dxa"/>
            </w:tcMar>
            <w:vAlign w:val="center"/>
          </w:tcPr>
          <w:p>
            <w:pPr>
              <w:spacing w:before="0" w:after="40" w:line="240" w:lineRule="auto"/>
            </w:pPr>
            <w:r>
              <w:rPr>
                <w:rFonts w:ascii="Calibri" w:hAnsi="Calibri"/>
                <w:color w:val="24313A"/>
                <w:sz w:val="15"/>
              </w:rPr>
              <w:t>1</w:t>
            </w:r>
          </w:p>
        </w:tc>
        <w:tc>
          <w:tcPr>
            <w:tcW w:type="dxa" w:w="1840"/>
            <w:tcMar>
              <w:top w:w="80" w:type="dxa"/>
              <w:start w:w="120" w:type="dxa"/>
              <w:bottom w:w="80" w:type="dxa"/>
              <w:end w:w="120" w:type="dxa"/>
            </w:tcMar>
            <w:vAlign w:val="center"/>
          </w:tcPr>
          <w:p>
            <w:pPr>
              <w:spacing w:before="0" w:after="40" w:line="240" w:lineRule="auto"/>
            </w:pPr>
            <w:r>
              <w:rPr>
                <w:rFonts w:ascii="Calibri" w:hAnsi="Calibri"/>
                <w:color w:val="24313A"/>
                <w:sz w:val="15"/>
              </w:rPr>
              <w:t>Foundation and mock accounts</w:t>
            </w:r>
          </w:p>
        </w:tc>
        <w:tc>
          <w:tcPr>
            <w:tcW w:type="dxa" w:w="2210"/>
            <w:tcMar>
              <w:top w:w="80" w:type="dxa"/>
              <w:start w:w="120" w:type="dxa"/>
              <w:bottom w:w="80" w:type="dxa"/>
              <w:end w:w="120" w:type="dxa"/>
            </w:tcMar>
            <w:vAlign w:val="center"/>
          </w:tcPr>
          <w:p>
            <w:pPr>
              <w:spacing w:before="0" w:after="40" w:line="240" w:lineRule="auto"/>
            </w:pPr>
            <w:r>
              <w:rPr>
                <w:rFonts w:ascii="Calibri" w:hAnsi="Calibri"/>
                <w:color w:val="24313A"/>
                <w:sz w:val="15"/>
              </w:rPr>
              <w:t>Roles, scopes, navigation, audit</w:t>
            </w:r>
          </w:p>
        </w:tc>
        <w:tc>
          <w:tcPr>
            <w:tcW w:type="dxa" w:w="1500"/>
            <w:tcMar>
              <w:top w:w="80" w:type="dxa"/>
              <w:start w:w="120" w:type="dxa"/>
              <w:bottom w:w="80" w:type="dxa"/>
              <w:end w:w="120" w:type="dxa"/>
            </w:tcMar>
            <w:vAlign w:val="center"/>
          </w:tcPr>
          <w:p>
            <w:pPr>
              <w:spacing w:before="0" w:after="40" w:line="240" w:lineRule="auto"/>
            </w:pPr>
            <w:r>
              <w:rPr>
                <w:rFonts w:ascii="Calibri" w:hAnsi="Calibri"/>
                <w:color w:val="24313A"/>
                <w:sz w:val="15"/>
              </w:rPr>
              <w:t>Documentation approved</w:t>
            </w:r>
          </w:p>
        </w:tc>
        <w:tc>
          <w:tcPr>
            <w:tcW w:type="dxa" w:w="1650"/>
            <w:tcMar>
              <w:top w:w="80" w:type="dxa"/>
              <w:start w:w="120" w:type="dxa"/>
              <w:bottom w:w="80" w:type="dxa"/>
              <w:end w:w="120" w:type="dxa"/>
            </w:tcMar>
            <w:vAlign w:val="center"/>
          </w:tcPr>
          <w:p>
            <w:pPr>
              <w:spacing w:before="0" w:after="40" w:line="240" w:lineRule="auto"/>
            </w:pPr>
            <w:r>
              <w:rPr>
                <w:rFonts w:ascii="Calibri" w:hAnsi="Calibri"/>
                <w:color w:val="24313A"/>
                <w:sz w:val="15"/>
              </w:rPr>
              <w:t>Access shell passes negative permission tests</w:t>
            </w:r>
          </w:p>
        </w:tc>
        <w:tc>
          <w:tcPr>
            <w:tcW w:type="dxa" w:w="1400"/>
            <w:tcMar>
              <w:top w:w="80" w:type="dxa"/>
              <w:start w:w="120" w:type="dxa"/>
              <w:bottom w:w="80" w:type="dxa"/>
              <w:end w:w="120" w:type="dxa"/>
            </w:tcMar>
            <w:vAlign w:val="center"/>
          </w:tcPr>
          <w:p>
            <w:pPr>
              <w:spacing w:before="0" w:after="40" w:line="240" w:lineRule="auto"/>
            </w:pPr>
            <w:r>
              <w:rPr>
                <w:rFonts w:ascii="Calibri" w:hAnsi="Calibri"/>
                <w:color w:val="24313A"/>
                <w:sz w:val="15"/>
              </w:rPr>
              <w:t>Real identity; feature depth</w:t>
            </w:r>
          </w:p>
        </w:tc>
      </w:tr>
      <w:tr>
        <w:tc>
          <w:tcPr>
            <w:tcW w:type="dxa" w:w="76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2</w:t>
            </w:r>
          </w:p>
        </w:tc>
        <w:tc>
          <w:tcPr>
            <w:tcW w:type="dxa" w:w="184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Employees and capabilities</w:t>
            </w:r>
          </w:p>
        </w:tc>
        <w:tc>
          <w:tcPr>
            <w:tcW w:type="dxa" w:w="221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Profiles, skills, evidence, labels, management notes</w:t>
            </w:r>
          </w:p>
        </w:tc>
        <w:tc>
          <w:tcPr>
            <w:tcW w:type="dxa" w:w="15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Phase 1 enforcement</w:t>
            </w:r>
          </w:p>
        </w:tc>
        <w:tc>
          <w:tcPr>
            <w:tcW w:type="dxa" w:w="165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Capability and note visibility verified</w:t>
            </w:r>
          </w:p>
        </w:tc>
        <w:tc>
          <w:tcPr>
            <w:tcW w:type="dxa" w:w="14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Clients/scheduling; mandatory verification</w:t>
            </w:r>
          </w:p>
        </w:tc>
      </w:tr>
      <w:tr>
        <w:tc>
          <w:tcPr>
            <w:tcW w:type="dxa" w:w="760"/>
            <w:tcMar>
              <w:top w:w="80" w:type="dxa"/>
              <w:start w:w="120" w:type="dxa"/>
              <w:bottom w:w="80" w:type="dxa"/>
              <w:end w:w="120" w:type="dxa"/>
            </w:tcMar>
            <w:vAlign w:val="center"/>
          </w:tcPr>
          <w:p>
            <w:pPr>
              <w:spacing w:before="0" w:after="40" w:line="240" w:lineRule="auto"/>
            </w:pPr>
            <w:r>
              <w:rPr>
                <w:rFonts w:ascii="Calibri" w:hAnsi="Calibri"/>
                <w:color w:val="24313A"/>
                <w:sz w:val="15"/>
              </w:rPr>
              <w:t>3</w:t>
            </w:r>
          </w:p>
        </w:tc>
        <w:tc>
          <w:tcPr>
            <w:tcW w:type="dxa" w:w="1840"/>
            <w:tcMar>
              <w:top w:w="80" w:type="dxa"/>
              <w:start w:w="120" w:type="dxa"/>
              <w:bottom w:w="80" w:type="dxa"/>
              <w:end w:w="120" w:type="dxa"/>
            </w:tcMar>
            <w:vAlign w:val="center"/>
          </w:tcPr>
          <w:p>
            <w:pPr>
              <w:spacing w:before="0" w:after="40" w:line="240" w:lineRule="auto"/>
            </w:pPr>
            <w:r>
              <w:rPr>
                <w:rFonts w:ascii="Calibri" w:hAnsi="Calibri"/>
                <w:color w:val="24313A"/>
                <w:sz w:val="15"/>
              </w:rPr>
              <w:t>Clients, projects, locations</w:t>
            </w:r>
          </w:p>
        </w:tc>
        <w:tc>
          <w:tcPr>
            <w:tcW w:type="dxa" w:w="2210"/>
            <w:tcMar>
              <w:top w:w="80" w:type="dxa"/>
              <w:start w:w="120" w:type="dxa"/>
              <w:bottom w:w="80" w:type="dxa"/>
              <w:end w:w="120" w:type="dxa"/>
            </w:tcMar>
            <w:vAlign w:val="center"/>
          </w:tcPr>
          <w:p>
            <w:pPr>
              <w:spacing w:before="0" w:after="40" w:line="240" w:lineRule="auto"/>
            </w:pPr>
            <w:r>
              <w:rPr>
                <w:rFonts w:ascii="Calibri" w:hAnsi="Calibri"/>
                <w:color w:val="24313A"/>
                <w:sz w:val="15"/>
              </w:rPr>
              <w:t>Operational hierarchy, requirements, shared notes</w:t>
            </w:r>
          </w:p>
        </w:tc>
        <w:tc>
          <w:tcPr>
            <w:tcW w:type="dxa" w:w="1500"/>
            <w:tcMar>
              <w:top w:w="80" w:type="dxa"/>
              <w:start w:w="120" w:type="dxa"/>
              <w:bottom w:w="80" w:type="dxa"/>
              <w:end w:w="120" w:type="dxa"/>
            </w:tcMar>
            <w:vAlign w:val="center"/>
          </w:tcPr>
          <w:p>
            <w:pPr>
              <w:spacing w:before="0" w:after="40" w:line="240" w:lineRule="auto"/>
            </w:pPr>
            <w:r>
              <w:rPr>
                <w:rFonts w:ascii="Calibri" w:hAnsi="Calibri"/>
                <w:color w:val="24313A"/>
                <w:sz w:val="15"/>
              </w:rPr>
              <w:t>Employee/skill records</w:t>
            </w:r>
          </w:p>
        </w:tc>
        <w:tc>
          <w:tcPr>
            <w:tcW w:type="dxa" w:w="1650"/>
            <w:tcMar>
              <w:top w:w="80" w:type="dxa"/>
              <w:start w:w="120" w:type="dxa"/>
              <w:bottom w:w="80" w:type="dxa"/>
              <w:end w:w="120" w:type="dxa"/>
            </w:tcMar>
            <w:vAlign w:val="center"/>
          </w:tcPr>
          <w:p>
            <w:pPr>
              <w:spacing w:before="0" w:after="40" w:line="240" w:lineRule="auto"/>
            </w:pPr>
            <w:r>
              <w:rPr>
                <w:rFonts w:ascii="Calibri" w:hAnsi="Calibri"/>
                <w:color w:val="24313A"/>
                <w:sz w:val="15"/>
              </w:rPr>
              <w:t>Relationships and scope verified</w:t>
            </w:r>
          </w:p>
        </w:tc>
        <w:tc>
          <w:tcPr>
            <w:tcW w:type="dxa" w:w="1400"/>
            <w:tcMar>
              <w:top w:w="80" w:type="dxa"/>
              <w:start w:w="120" w:type="dxa"/>
              <w:bottom w:w="80" w:type="dxa"/>
              <w:end w:w="120" w:type="dxa"/>
            </w:tcMar>
            <w:vAlign w:val="center"/>
          </w:tcPr>
          <w:p>
            <w:pPr>
              <w:spacing w:before="0" w:after="40" w:line="240" w:lineRule="auto"/>
            </w:pPr>
            <w:r>
              <w:rPr>
                <w:rFonts w:ascii="Calibri" w:hAnsi="Calibri"/>
                <w:color w:val="24313A"/>
                <w:sz w:val="15"/>
              </w:rPr>
              <w:t>Scheduling; live maps</w:t>
            </w:r>
          </w:p>
        </w:tc>
      </w:tr>
      <w:tr>
        <w:tc>
          <w:tcPr>
            <w:tcW w:type="dxa" w:w="76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4</w:t>
            </w:r>
          </w:p>
        </w:tc>
        <w:tc>
          <w:tcPr>
            <w:tcW w:type="dxa" w:w="184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Scheduling</w:t>
            </w:r>
          </w:p>
        </w:tc>
        <w:tc>
          <w:tcPr>
            <w:tcW w:type="dxa" w:w="221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Monthly board, assignments, states, conflicts</w:t>
            </w:r>
          </w:p>
        </w:tc>
        <w:tc>
          <w:tcPr>
            <w:tcW w:type="dxa" w:w="15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Phases 1-3</w:t>
            </w:r>
          </w:p>
        </w:tc>
        <w:tc>
          <w:tcPr>
            <w:tcW w:type="dxa" w:w="165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Only Super Admin publishes; employees see published</w:t>
            </w:r>
          </w:p>
        </w:tc>
        <w:tc>
          <w:tcPr>
            <w:tcW w:type="dxa" w:w="14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Leave balances; automatic staffing</w:t>
            </w:r>
          </w:p>
        </w:tc>
      </w:tr>
      <w:tr>
        <w:tc>
          <w:tcPr>
            <w:tcW w:type="dxa" w:w="760"/>
            <w:tcMar>
              <w:top w:w="80" w:type="dxa"/>
              <w:start w:w="120" w:type="dxa"/>
              <w:bottom w:w="80" w:type="dxa"/>
              <w:end w:w="120" w:type="dxa"/>
            </w:tcMar>
            <w:vAlign w:val="center"/>
          </w:tcPr>
          <w:p>
            <w:pPr>
              <w:spacing w:before="0" w:after="40" w:line="240" w:lineRule="auto"/>
            </w:pPr>
            <w:r>
              <w:rPr>
                <w:rFonts w:ascii="Calibri" w:hAnsi="Calibri"/>
                <w:color w:val="24313A"/>
                <w:sz w:val="15"/>
              </w:rPr>
              <w:t>5</w:t>
            </w:r>
          </w:p>
        </w:tc>
        <w:tc>
          <w:tcPr>
            <w:tcW w:type="dxa" w:w="1840"/>
            <w:tcMar>
              <w:top w:w="80" w:type="dxa"/>
              <w:start w:w="120" w:type="dxa"/>
              <w:bottom w:w="80" w:type="dxa"/>
              <w:end w:w="120" w:type="dxa"/>
            </w:tcMar>
            <w:vAlign w:val="center"/>
          </w:tcPr>
          <w:p>
            <w:pPr>
              <w:spacing w:before="0" w:after="40" w:line="240" w:lineRule="auto"/>
            </w:pPr>
            <w:r>
              <w:rPr>
                <w:rFonts w:ascii="Calibri" w:hAnsi="Calibri"/>
                <w:color w:val="24313A"/>
                <w:sz w:val="15"/>
              </w:rPr>
              <w:t>Static planning map</w:t>
            </w:r>
          </w:p>
        </w:tc>
        <w:tc>
          <w:tcPr>
            <w:tcW w:type="dxa" w:w="2210"/>
            <w:tcMar>
              <w:top w:w="80" w:type="dxa"/>
              <w:start w:w="120" w:type="dxa"/>
              <w:bottom w:w="80" w:type="dxa"/>
              <w:end w:w="120" w:type="dxa"/>
            </w:tcMar>
            <w:vAlign w:val="center"/>
          </w:tcPr>
          <w:p>
            <w:pPr>
              <w:spacing w:before="0" w:after="40" w:line="240" w:lineRule="auto"/>
            </w:pPr>
            <w:r>
              <w:rPr>
                <w:rFonts w:ascii="Calibri" w:hAnsi="Calibri"/>
                <w:color w:val="24313A"/>
                <w:sz w:val="15"/>
              </w:rPr>
              <w:t>Stored pins, filters, non-live planning links</w:t>
            </w:r>
          </w:p>
        </w:tc>
        <w:tc>
          <w:tcPr>
            <w:tcW w:type="dxa" w:w="1500"/>
            <w:tcMar>
              <w:top w:w="80" w:type="dxa"/>
              <w:start w:w="120" w:type="dxa"/>
              <w:bottom w:w="80" w:type="dxa"/>
              <w:end w:w="120" w:type="dxa"/>
            </w:tcMar>
            <w:vAlign w:val="center"/>
          </w:tcPr>
          <w:p>
            <w:pPr>
              <w:spacing w:before="0" w:after="40" w:line="240" w:lineRule="auto"/>
            </w:pPr>
            <w:r>
              <w:rPr>
                <w:rFonts w:ascii="Calibri" w:hAnsi="Calibri"/>
                <w:color w:val="24313A"/>
                <w:sz w:val="15"/>
              </w:rPr>
              <w:t>Published schedules + privacy choices</w:t>
            </w:r>
          </w:p>
        </w:tc>
        <w:tc>
          <w:tcPr>
            <w:tcW w:type="dxa" w:w="1650"/>
            <w:tcMar>
              <w:top w:w="80" w:type="dxa"/>
              <w:start w:w="120" w:type="dxa"/>
              <w:bottom w:w="80" w:type="dxa"/>
              <w:end w:w="120" w:type="dxa"/>
            </w:tcMar>
            <w:vAlign w:val="center"/>
          </w:tcPr>
          <w:p>
            <w:pPr>
              <w:spacing w:before="0" w:after="40" w:line="240" w:lineRule="auto"/>
            </w:pPr>
            <w:r>
              <w:rPr>
                <w:rFonts w:ascii="Calibri" w:hAnsi="Calibri"/>
                <w:color w:val="24313A"/>
                <w:sz w:val="15"/>
              </w:rPr>
              <w:t>Scope/privacy/non-live tests pass</w:t>
            </w:r>
          </w:p>
        </w:tc>
        <w:tc>
          <w:tcPr>
            <w:tcW w:type="dxa" w:w="1400"/>
            <w:tcMar>
              <w:top w:w="80" w:type="dxa"/>
              <w:start w:w="120" w:type="dxa"/>
              <w:bottom w:w="80" w:type="dxa"/>
              <w:end w:w="120" w:type="dxa"/>
            </w:tcMar>
            <w:vAlign w:val="center"/>
          </w:tcPr>
          <w:p>
            <w:pPr>
              <w:spacing w:before="0" w:after="40" w:line="240" w:lineRule="auto"/>
            </w:pPr>
            <w:r>
              <w:rPr>
                <w:rFonts w:ascii="Calibri" w:hAnsi="Calibri"/>
                <w:color w:val="24313A"/>
                <w:sz w:val="15"/>
              </w:rPr>
              <w:t>GPS; movement history; routing</w:t>
            </w:r>
          </w:p>
        </w:tc>
      </w:tr>
      <w:tr>
        <w:tc>
          <w:tcPr>
            <w:tcW w:type="dxa" w:w="76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6</w:t>
            </w:r>
          </w:p>
        </w:tc>
        <w:tc>
          <w:tcPr>
            <w:tcW w:type="dxa" w:w="184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Leave and availability</w:t>
            </w:r>
          </w:p>
        </w:tc>
        <w:tc>
          <w:tcPr>
            <w:tcW w:type="dxa" w:w="221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Requests, privacy, decisions, conflicts</w:t>
            </w:r>
          </w:p>
        </w:tc>
        <w:tc>
          <w:tcPr>
            <w:tcW w:type="dxa" w:w="15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Schedule + leave rules</w:t>
            </w:r>
          </w:p>
        </w:tc>
        <w:tc>
          <w:tcPr>
            <w:tcW w:type="dxa" w:w="165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Super Admin-only decisions verified</w:t>
            </w:r>
          </w:p>
        </w:tc>
        <w:tc>
          <w:tcPr>
            <w:tcW w:type="dxa" w:w="14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Payroll/full HR; unconfirmed calculations</w:t>
            </w:r>
          </w:p>
        </w:tc>
      </w:tr>
      <w:tr>
        <w:tc>
          <w:tcPr>
            <w:tcW w:type="dxa" w:w="760"/>
            <w:tcMar>
              <w:top w:w="80" w:type="dxa"/>
              <w:start w:w="120" w:type="dxa"/>
              <w:bottom w:w="80" w:type="dxa"/>
              <w:end w:w="120" w:type="dxa"/>
            </w:tcMar>
            <w:vAlign w:val="center"/>
          </w:tcPr>
          <w:p>
            <w:pPr>
              <w:spacing w:before="0" w:after="40" w:line="240" w:lineRule="auto"/>
            </w:pPr>
            <w:r>
              <w:rPr>
                <w:rFonts w:ascii="Calibri" w:hAnsi="Calibri"/>
                <w:color w:val="24313A"/>
                <w:sz w:val="15"/>
              </w:rPr>
              <w:t>7</w:t>
            </w:r>
          </w:p>
        </w:tc>
        <w:tc>
          <w:tcPr>
            <w:tcW w:type="dxa" w:w="1840"/>
            <w:tcMar>
              <w:top w:w="80" w:type="dxa"/>
              <w:start w:w="120" w:type="dxa"/>
              <w:bottom w:w="80" w:type="dxa"/>
              <w:end w:w="120" w:type="dxa"/>
            </w:tcMar>
            <w:vAlign w:val="center"/>
          </w:tcPr>
          <w:p>
            <w:pPr>
              <w:spacing w:before="0" w:after="40" w:line="240" w:lineRule="auto"/>
            </w:pPr>
            <w:r>
              <w:rPr>
                <w:rFonts w:ascii="Calibri" w:hAnsi="Calibri"/>
                <w:color w:val="24313A"/>
                <w:sz w:val="15"/>
              </w:rPr>
              <w:t>Coverage and replacement</w:t>
            </w:r>
          </w:p>
        </w:tc>
        <w:tc>
          <w:tcPr>
            <w:tcW w:type="dxa" w:w="2210"/>
            <w:tcMar>
              <w:top w:w="80" w:type="dxa"/>
              <w:start w:w="120" w:type="dxa"/>
              <w:bottom w:w="80" w:type="dxa"/>
              <w:end w:w="120" w:type="dxa"/>
            </w:tcMar>
            <w:vAlign w:val="center"/>
          </w:tcPr>
          <w:p>
            <w:pPr>
              <w:spacing w:before="0" w:after="40" w:line="240" w:lineRule="auto"/>
            </w:pPr>
            <w:r>
              <w:rPr>
                <w:rFonts w:ascii="Calibri" w:hAnsi="Calibri"/>
                <w:color w:val="24313A"/>
                <w:sz w:val="15"/>
              </w:rPr>
              <w:t>Coverage rules, candidates, Admin requests, overrides</w:t>
            </w:r>
          </w:p>
        </w:tc>
        <w:tc>
          <w:tcPr>
            <w:tcW w:type="dxa" w:w="1500"/>
            <w:tcMar>
              <w:top w:w="80" w:type="dxa"/>
              <w:start w:w="120" w:type="dxa"/>
              <w:bottom w:w="80" w:type="dxa"/>
              <w:end w:w="120" w:type="dxa"/>
            </w:tcMar>
            <w:vAlign w:val="center"/>
          </w:tcPr>
          <w:p>
            <w:pPr>
              <w:spacing w:before="0" w:after="40" w:line="240" w:lineRule="auto"/>
            </w:pPr>
            <w:r>
              <w:rPr>
                <w:rFonts w:ascii="Calibri" w:hAnsi="Calibri"/>
                <w:color w:val="24313A"/>
                <w:sz w:val="15"/>
              </w:rPr>
              <w:t>Skills + schedule + leave</w:t>
            </w:r>
          </w:p>
        </w:tc>
        <w:tc>
          <w:tcPr>
            <w:tcW w:type="dxa" w:w="1650"/>
            <w:tcMar>
              <w:top w:w="80" w:type="dxa"/>
              <w:start w:w="120" w:type="dxa"/>
              <w:bottom w:w="80" w:type="dxa"/>
              <w:end w:w="120" w:type="dxa"/>
            </w:tcMar>
            <w:vAlign w:val="center"/>
          </w:tcPr>
          <w:p>
            <w:pPr>
              <w:spacing w:before="0" w:after="40" w:line="240" w:lineRule="auto"/>
            </w:pPr>
            <w:r>
              <w:rPr>
                <w:rFonts w:ascii="Calibri" w:hAnsi="Calibri"/>
                <w:color w:val="24313A"/>
                <w:sz w:val="15"/>
              </w:rPr>
              <w:t>Manager-controlled suggestions verified</w:t>
            </w:r>
          </w:p>
        </w:tc>
        <w:tc>
          <w:tcPr>
            <w:tcW w:type="dxa" w:w="1400"/>
            <w:tcMar>
              <w:top w:w="80" w:type="dxa"/>
              <w:start w:w="120" w:type="dxa"/>
              <w:bottom w:w="80" w:type="dxa"/>
              <w:end w:w="120" w:type="dxa"/>
            </w:tcMar>
            <w:vAlign w:val="center"/>
          </w:tcPr>
          <w:p>
            <w:pPr>
              <w:spacing w:before="0" w:after="40" w:line="240" w:lineRule="auto"/>
            </w:pPr>
            <w:r>
              <w:rPr>
                <w:rFonts w:ascii="Calibri" w:hAnsi="Calibri"/>
                <w:color w:val="24313A"/>
                <w:sz w:val="15"/>
              </w:rPr>
              <w:t>Automatic final decisions</w:t>
            </w:r>
          </w:p>
        </w:tc>
      </w:tr>
      <w:tr>
        <w:tc>
          <w:tcPr>
            <w:tcW w:type="dxa" w:w="76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8</w:t>
            </w:r>
          </w:p>
        </w:tc>
        <w:tc>
          <w:tcPr>
            <w:tcW w:type="dxa" w:w="184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Notifications, communication, dashboards, reporting</w:t>
            </w:r>
          </w:p>
        </w:tc>
        <w:tc>
          <w:tcPr>
            <w:tcW w:type="dxa" w:w="221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Event centre, discussions, views, exports, audit</w:t>
            </w:r>
          </w:p>
        </w:tc>
        <w:tc>
          <w:tcPr>
            <w:tcW w:type="dxa" w:w="15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Stable source workflows</w:t>
            </w:r>
          </w:p>
        </w:tc>
        <w:tc>
          <w:tcPr>
            <w:tcW w:type="dxa" w:w="165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Visibility/event matrix passes</w:t>
            </w:r>
          </w:p>
        </w:tc>
        <w:tc>
          <w:tcPr>
            <w:tcW w:type="dxa" w:w="1400"/>
            <w:tcMar>
              <w:top w:w="80" w:type="dxa"/>
              <w:start w:w="120" w:type="dxa"/>
              <w:bottom w:w="80" w:type="dxa"/>
              <w:end w:w="120" w:type="dxa"/>
            </w:tcMar>
            <w:vAlign w:val="center"/>
            <w:shd w:fill="F5F7F8"/>
          </w:tcPr>
          <w:p>
            <w:pPr>
              <w:spacing w:before="0" w:after="40" w:line="240" w:lineRule="auto"/>
            </w:pPr>
            <w:r>
              <w:rPr>
                <w:rFonts w:ascii="Calibri" w:hAnsi="Calibri"/>
                <w:color w:val="24313A"/>
                <w:sz w:val="15"/>
              </w:rPr>
              <w:t>External channels unless approved</w:t>
            </w:r>
          </w:p>
        </w:tc>
      </w:tr>
      <w:tr>
        <w:tc>
          <w:tcPr>
            <w:tcW w:type="dxa" w:w="760"/>
            <w:tcMar>
              <w:top w:w="80" w:type="dxa"/>
              <w:start w:w="120" w:type="dxa"/>
              <w:bottom w:w="80" w:type="dxa"/>
              <w:end w:w="120" w:type="dxa"/>
            </w:tcMar>
            <w:vAlign w:val="center"/>
          </w:tcPr>
          <w:p>
            <w:pPr>
              <w:spacing w:before="0" w:after="40" w:line="240" w:lineRule="auto"/>
            </w:pPr>
            <w:r>
              <w:rPr>
                <w:rFonts w:ascii="Calibri" w:hAnsi="Calibri"/>
                <w:color w:val="24313A"/>
                <w:sz w:val="15"/>
              </w:rPr>
              <w:t>9</w:t>
            </w:r>
          </w:p>
        </w:tc>
        <w:tc>
          <w:tcPr>
            <w:tcW w:type="dxa" w:w="1840"/>
            <w:tcMar>
              <w:top w:w="80" w:type="dxa"/>
              <w:start w:w="120" w:type="dxa"/>
              <w:bottom w:w="80" w:type="dxa"/>
              <w:end w:w="120" w:type="dxa"/>
            </w:tcMar>
            <w:vAlign w:val="center"/>
          </w:tcPr>
          <w:p>
            <w:pPr>
              <w:spacing w:before="0" w:after="40" w:line="240" w:lineRule="auto"/>
            </w:pPr>
            <w:r>
              <w:rPr>
                <w:rFonts w:ascii="Calibri" w:hAnsi="Calibri"/>
                <w:color w:val="24313A"/>
                <w:sz w:val="15"/>
              </w:rPr>
              <w:t>Ticket System integration</w:t>
            </w:r>
          </w:p>
        </w:tc>
        <w:tc>
          <w:tcPr>
            <w:tcW w:type="dxa" w:w="2210"/>
            <w:tcMar>
              <w:top w:w="80" w:type="dxa"/>
              <w:start w:w="120" w:type="dxa"/>
              <w:bottom w:w="80" w:type="dxa"/>
              <w:end w:w="120" w:type="dxa"/>
            </w:tcMar>
            <w:vAlign w:val="center"/>
          </w:tcPr>
          <w:p>
            <w:pPr>
              <w:spacing w:before="0" w:after="40" w:line="240" w:lineRule="auto"/>
            </w:pPr>
            <w:r>
              <w:rPr>
                <w:rFonts w:ascii="Calibri" w:hAnsi="Calibri"/>
                <w:color w:val="24313A"/>
                <w:sz w:val="15"/>
              </w:rPr>
              <w:t>Reuse assessment, migration, domain links</w:t>
            </w:r>
          </w:p>
        </w:tc>
        <w:tc>
          <w:tcPr>
            <w:tcW w:type="dxa" w:w="1500"/>
            <w:tcMar>
              <w:top w:w="80" w:type="dxa"/>
              <w:start w:w="120" w:type="dxa"/>
              <w:bottom w:w="80" w:type="dxa"/>
              <w:end w:w="120" w:type="dxa"/>
            </w:tcMar>
            <w:vAlign w:val="center"/>
          </w:tcPr>
          <w:p>
            <w:pPr>
              <w:spacing w:before="0" w:after="40" w:line="240" w:lineRule="auto"/>
            </w:pPr>
            <w:r>
              <w:rPr>
                <w:rFonts w:ascii="Calibri" w:hAnsi="Calibri"/>
                <w:color w:val="24313A"/>
                <w:sz w:val="15"/>
              </w:rPr>
              <w:t>Phases 1-8 stable</w:t>
            </w:r>
          </w:p>
        </w:tc>
        <w:tc>
          <w:tcPr>
            <w:tcW w:type="dxa" w:w="1650"/>
            <w:tcMar>
              <w:top w:w="80" w:type="dxa"/>
              <w:start w:w="120" w:type="dxa"/>
              <w:bottom w:w="80" w:type="dxa"/>
              <w:end w:w="120" w:type="dxa"/>
            </w:tcMar>
            <w:vAlign w:val="center"/>
          </w:tcPr>
          <w:p>
            <w:pPr>
              <w:spacing w:before="0" w:after="40" w:line="240" w:lineRule="auto"/>
            </w:pPr>
            <w:r>
              <w:rPr>
                <w:rFonts w:ascii="Calibri" w:hAnsi="Calibri"/>
                <w:color w:val="24313A"/>
                <w:sz w:val="15"/>
              </w:rPr>
              <w:t>Ticket/assignment/schedule/work log distinct</w:t>
            </w:r>
          </w:p>
        </w:tc>
        <w:tc>
          <w:tcPr>
            <w:tcW w:type="dxa" w:w="1400"/>
            <w:tcMar>
              <w:top w:w="80" w:type="dxa"/>
              <w:start w:w="120" w:type="dxa"/>
              <w:bottom w:w="80" w:type="dxa"/>
              <w:end w:w="120" w:type="dxa"/>
            </w:tcMar>
            <w:vAlign w:val="center"/>
          </w:tcPr>
          <w:p>
            <w:pPr>
              <w:spacing w:before="0" w:after="40" w:line="240" w:lineRule="auto"/>
            </w:pPr>
            <w:r>
              <w:rPr>
                <w:rFonts w:ascii="Calibri" w:hAnsi="Calibri"/>
                <w:color w:val="24313A"/>
                <w:sz w:val="15"/>
              </w:rPr>
              <w:t>Ticket foundation or wholesale restrictions</w:t>
            </w:r>
          </w:p>
        </w:tc>
      </w:tr>
    </w:tbl>
    <w:p>
      <w:pPr>
        <w:pStyle w:val="Heading1"/>
      </w:pPr>
      <w:r>
        <w:t>29. Open Decisions</w:t>
      </w:r>
    </w:p>
    <w:p>
      <w:r>
        <w:t>Every row is unresolved. The safe default prevents accidental scope expansion and is not a final business decision.</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2500"/>
        <w:gridCol w:w="3150"/>
        <w:gridCol w:w="3710"/>
      </w:tblGrid>
      <w:tr>
        <w:trPr>
          <w:tblHeader w:val="true"/>
        </w:trPr>
        <w:tc>
          <w:tcPr>
            <w:tcW w:type="dxa" w:w="25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Decision (not finalized)</w:t>
            </w:r>
          </w:p>
        </w:tc>
        <w:tc>
          <w:tcPr>
            <w:tcW w:type="dxa" w:w="315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Why it matters</w:t>
            </w:r>
          </w:p>
        </w:tc>
        <w:tc>
          <w:tcPr>
            <w:tcW w:type="dxa" w:w="371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Safe documentation default</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Home address precision</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Map privacy and replacement ranking</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Protect precise data; use approximate area unless separately authorized</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Precise-address permission</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Role/scope/audit</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Super Admin only until confirmed</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Fixed or flexible work hours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Availability and conflicts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Model work pattern; no unconfirmed enforcement</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Multiple locations per day</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Timed work and travel feasibility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No time overlap; travel rule remains open</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Leave year/balances/half-days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Entitlements and calculations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Defer calculation</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Holidays/weekends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Availability calendar</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No hard-coded calendar</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Skill proficiency scale</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Search and coverage</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Future-configurable; no scale selected</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Certification verification for coverage</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Safety and eligibility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Show status; do not assume rule</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Admin scope model</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Authorization across modules</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Use abstract assigned scope</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Admin creates employees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Account authority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Super Admin only until delegated</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Formal proposal action</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Schedule interaction/audit</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Keep Draft/Proposed/Published states</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Shared-note edit rights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Integrity and moderation</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Author edits own; final rule open</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Additional attachments</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Storage/security/retention</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Only confirmed profile evidence initially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Map/geocoding provider</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Cost/licensing/privacy</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Provider-neutral</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Distance/travel-time method</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Candidate ranking and feasibility</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Optional ranking only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External notifications</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Identity/delivery/cost</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In-app only</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Authentication provider</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Enterprise identity</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Mock accounts only</w:t>
            </w:r>
          </w:p>
        </w:tc>
      </w:tr>
      <w:tr>
        <w:tc>
          <w:tcPr>
            <w:tcW w:type="dxa" w:w="25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Ticket migration strategy</w:t>
            </w:r>
          </w:p>
        </w:tc>
        <w:tc>
          <w:tcPr>
            <w:tcW w:type="dxa" w:w="315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Reuse/data/risk</w:t>
            </w:r>
          </w:p>
        </w:tc>
        <w:tc>
          <w:tcPr>
            <w:tcW w:type="dxa" w:w="371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Inspect in Phase 9</w:t>
            </w:r>
          </w:p>
        </w:tc>
      </w:tr>
      <w:tr>
        <w:tc>
          <w:tcPr>
            <w:tcW w:type="dxa" w:w="2500"/>
            <w:tcMar>
              <w:top w:w="80" w:type="dxa"/>
              <w:start w:w="120" w:type="dxa"/>
              <w:bottom w:w="80" w:type="dxa"/>
              <w:end w:w="120" w:type="dxa"/>
            </w:tcMar>
            <w:vAlign w:val="center"/>
          </w:tcPr>
          <w:p>
            <w:pPr>
              <w:spacing w:before="0" w:after="40" w:line="240" w:lineRule="auto"/>
            </w:pPr>
            <w:r>
              <w:rPr>
                <w:rFonts w:ascii="Calibri" w:hAnsi="Calibri"/>
                <w:color w:val="24313A"/>
                <w:sz w:val="17"/>
              </w:rPr>
              <w:t>Repository strategy</w:t>
            </w:r>
          </w:p>
        </w:tc>
        <w:tc>
          <w:tcPr>
            <w:tcW w:type="dxa" w:w="3150"/>
            <w:tcMar>
              <w:top w:w="80" w:type="dxa"/>
              <w:start w:w="120" w:type="dxa"/>
              <w:bottom w:w="80" w:type="dxa"/>
              <w:end w:w="120" w:type="dxa"/>
            </w:tcMar>
            <w:vAlign w:val="center"/>
          </w:tcPr>
          <w:p>
            <w:pPr>
              <w:spacing w:before="0" w:after="40" w:line="240" w:lineRule="auto"/>
            </w:pPr>
            <w:r>
              <w:rPr>
                <w:rFonts w:ascii="Calibri" w:hAnsi="Calibri"/>
                <w:color w:val="24313A"/>
                <w:sz w:val="17"/>
              </w:rPr>
              <w:t>Ownership/architecture</w:t>
            </w:r>
          </w:p>
        </w:tc>
        <w:tc>
          <w:tcPr>
            <w:tcW w:type="dxa" w:w="3710"/>
            <w:tcMar>
              <w:top w:w="80" w:type="dxa"/>
              <w:start w:w="120" w:type="dxa"/>
              <w:bottom w:w="80" w:type="dxa"/>
              <w:end w:w="120" w:type="dxa"/>
            </w:tcMar>
            <w:vAlign w:val="center"/>
          </w:tcPr>
          <w:p>
            <w:pPr>
              <w:spacing w:before="0" w:after="40" w:line="240" w:lineRule="auto"/>
            </w:pPr>
            <w:r>
              <w:rPr>
                <w:rFonts w:ascii="Calibri" w:hAnsi="Calibri"/>
                <w:color w:val="24313A"/>
                <w:sz w:val="17"/>
              </w:rPr>
              <w:t>Keep workforce project independent for now</w:t>
            </w:r>
          </w:p>
        </w:tc>
      </w:tr>
    </w:tbl>
    <w:p>
      <w:pPr>
        <w:pStyle w:val="Heading1"/>
      </w:pPr>
      <w:r>
        <w:t>30. Glossary</w:t>
      </w:r>
    </w:p>
    <w:p>
      <w:r>
        <w:t>Canonical terms prevent architectural drift.</w:t>
      </w:r>
    </w:p>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2200"/>
        <w:gridCol w:w="7160"/>
      </w:tblGrid>
      <w:tr>
        <w:trPr>
          <w:tblHeader w:val="true"/>
        </w:trPr>
        <w:tc>
          <w:tcPr>
            <w:tcW w:type="dxa" w:w="220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Term</w:t>
            </w:r>
          </w:p>
        </w:tc>
        <w:tc>
          <w:tcPr>
            <w:tcW w:type="dxa" w:w="7160"/>
            <w:tcMar>
              <w:top w:w="80" w:type="dxa"/>
              <w:start w:w="120" w:type="dxa"/>
              <w:bottom w:w="80" w:type="dxa"/>
              <w:end w:w="120" w:type="dxa"/>
            </w:tcMar>
            <w:vAlign w:val="center"/>
            <w:shd w:fill="123B5D"/>
          </w:tcPr>
          <w:p>
            <w:pPr>
              <w:spacing w:before="0" w:after="40" w:line="240" w:lineRule="auto"/>
            </w:pPr>
            <w:r>
              <w:rPr>
                <w:rFonts w:ascii="Calibri" w:hAnsi="Calibri"/>
                <w:b/>
                <w:color w:val="FFFFFF"/>
                <w:sz w:val="17"/>
              </w:rPr>
              <w:t>Definition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Admin</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A trusted internal employee with scope-limited management access; not a leave approver or schedule publisher.</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Assignment</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Who performs work, where, and when.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Assignment arrangement</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A configurable descriptive label for an internal employee's placement; not logic or employment type.</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Availability</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Derived from work patterns, assignments, approved leave, and confirmed rules.</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Coverage rule</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A capability/count requirement for a period and possibly a client, project, or location.</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Employee-management note</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 hierarchical management note hidden from its subject, private-to-author or shared-upward.</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Published schedule</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The authoritative schedule state visible to affected employees.</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Scope</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The clients, projects, locations, teams, or combination an Admin is authorized to manage; exact model open.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Static planning map</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A selected-date visualization from stored and published data, never a live tracker.</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Super Admin</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The team manager with global publication, leave, coverage, replacement, and administration authority.</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color w:val="24313A"/>
                <w:sz w:val="17"/>
              </w:rPr>
              <w:t>Ticket</w:t>
            </w:r>
          </w:p>
        </w:tc>
        <w:tc>
          <w:tcPr>
            <w:tcW w:type="dxa" w:w="7160"/>
            <w:tcMar>
              <w:top w:w="80" w:type="dxa"/>
              <w:start w:w="120" w:type="dxa"/>
              <w:bottom w:w="80" w:type="dxa"/>
              <w:end w:w="120" w:type="dxa"/>
            </w:tcMar>
            <w:vAlign w:val="center"/>
          </w:tcPr>
          <w:p>
            <w:pPr>
              <w:spacing w:before="0" w:after="40" w:line="240" w:lineRule="auto"/>
            </w:pPr>
            <w:r>
              <w:rPr>
                <w:rFonts w:ascii="Calibri" w:hAnsi="Calibri"/>
                <w:color w:val="24313A"/>
                <w:sz w:val="17"/>
              </w:rPr>
              <w:t>A future record of work needed; distinct from assignment, schedule, and work log.</w:t>
            </w:r>
          </w:p>
        </w:tc>
      </w:tr>
      <w:tr>
        <w:tc>
          <w:tcPr>
            <w:tcW w:type="dxa" w:w="220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Work log</w:t>
            </w:r>
          </w:p>
        </w:tc>
        <w:tc>
          <w:tcPr>
            <w:tcW w:type="dxa" w:w="7160"/>
            <w:tcMar>
              <w:top w:w="80" w:type="dxa"/>
              <w:start w:w="120" w:type="dxa"/>
              <w:bottom w:w="80" w:type="dxa"/>
              <w:end w:w="120" w:type="dxa"/>
            </w:tcMar>
            <w:vAlign w:val="center"/>
            <w:shd w:fill="F5F7F8"/>
          </w:tcPr>
          <w:p>
            <w:pPr>
              <w:spacing w:before="0" w:after="40" w:line="240" w:lineRule="auto"/>
            </w:pPr>
            <w:r>
              <w:rPr>
                <w:rFonts w:ascii="Calibri" w:hAnsi="Calibri"/>
                <w:color w:val="24313A"/>
                <w:sz w:val="17"/>
              </w:rPr>
              <w:t>A later record of work actually performed.</w:t>
            </w:r>
          </w:p>
        </w:tc>
      </w:tr>
    </w:tbl>
    <w:tbl>
      <w:tblPr>
        <w:tblW w:type="dxa" w:w="9360"/>
        <w:jc w:val="left"/>
        <w:tblLayout w:type="fixed"/>
        <w:tblLook w:firstColumn="1" w:firstRow="1" w:lastColumn="0" w:lastRow="0" w:noHBand="0" w:noVBand="1" w:val="04A0"/>
        <w:tblInd w:w="120" w:type="dxa"/>
        <w:tblBorders>
          <w:top w:val="single" w:sz="6" w:color="CBD5DB"/>
          <w:left w:val="single" w:sz="6" w:color="CBD5DB"/>
          <w:bottom w:val="single" w:sz="6" w:color="CBD5DB"/>
          <w:right w:val="single" w:sz="6" w:color="CBD5DB"/>
          <w:insideH w:val="single" w:sz="6" w:color="CBD5DB"/>
          <w:insideV w:val="single" w:sz="6" w:color="CBD5DB"/>
        </w:tblBorders>
      </w:tblPr>
      <w:tblGrid>
        <w:gridCol w:w="9360"/>
      </w:tblGrid>
      <w:tr>
        <w:tc>
          <w:tcPr>
            <w:tcW w:type="dxa" w:w="9360"/>
            <w:shd w:fill="EAF2F6"/>
            <w:tcMar>
              <w:top w:w="80" w:type="dxa"/>
              <w:start w:w="120" w:type="dxa"/>
              <w:bottom w:w="80" w:type="dxa"/>
              <w:end w:w="120" w:type="dxa"/>
            </w:tcMar>
            <w:vAlign w:val="center"/>
          </w:tcPr>
          <w:p>
            <w:pPr>
              <w:spacing w:before="0" w:after="40" w:line="240" w:lineRule="auto"/>
            </w:pPr>
            <w:r>
              <w:rPr>
                <w:rFonts w:ascii="Calibri" w:hAnsi="Calibri"/>
                <w:b/>
                <w:color w:val="24313A"/>
                <w:sz w:val="21"/>
              </w:rPr>
              <w:t xml:space="preserve">End state: </w:t>
            </w:r>
            <w:r>
              <w:rPr>
                <w:rFonts w:ascii="Calibri" w:hAnsi="Calibri"/>
                <w:b w:val="0"/>
                <w:color w:val="24313A"/>
                <w:sz w:val="21"/>
              </w:rPr>
              <w:t>This document completes the product-requirements foundation only. It does not authorize application implementation.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3727D"/>
        <w:sz w:val="17"/>
      </w:rPr>
      <w:t xml:space="preserve">ScopeIs documentation baseline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color="2A7F8E"/>
      </w:pBdr>
    </w:pPr>
    <w:r>
      <w:rPr>
        <w:rFonts w:ascii="Calibri" w:hAnsi="Calibri"/>
        <w:b/>
        <w:color w:val="123B5D"/>
        <w:sz w:val="17"/>
      </w:rPr>
      <w:t>ScopeIs Team Management System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123B5D"/>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A7F8E"/>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A7F8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2431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2431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ListBullet"/>
    <w:pPr>
      <w:spacing w:after="100" w:line="264" w:lineRule="auto"/>
      <w:ind w:left="720" w:hanging="360"/>
    </w:pPr>
    <w:rPr>
      <w:rFonts w:ascii="Calibri" w:hAnsi="Calibri"/>
      <w:color w:val="2431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ScopeIs Team Management System - Product Requirements</dc:title>
  <dc:subject>Canonical product requirements and roadmap</dc:subject>
  <dc:creator>ScopeIs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