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jc w:val="center"/>
      </w:pPr>
      <w:r>
        <w:rPr>
          <w:rFonts w:ascii="Aptos" w:hAnsi="Aptos"/>
          <w:b/>
          <w:color w:val="1F497D"/>
          <w:sz w:val="52"/>
        </w:rPr>
        <w:t>mark2word Style Gallery</w:t>
      </w:r>
    </w:p>
    <w:p>
      <w:pPr>
        <w:pStyle w:val="Mark2wordBody"/>
        <w:spacing w:line="269" w:lineRule="auto" w:before="40" w:after="0"/>
        <w:jc w:val="center"/>
      </w:pPr>
      <w:r>
        <w:rPr>
          <w:rFonts w:ascii="Aptos" w:hAnsi="Aptos"/>
          <w:color w:val="5B5B5B"/>
          <w:sz w:val="20"/>
        </w:rPr>
        <w:t>A sample of themed Markdown → Word conversion</w:t>
      </w:r>
    </w:p>
    <w:p>
      <w:pPr>
        <w:pStyle w:val="Heading2"/>
        <w:pBdr>
          <w:bottom w:val="single" w:sz="6" w:space="2" w:color="2B579A"/>
        </w:pBdr>
        <w:spacing w:before="320" w:after="0"/>
      </w:pPr>
      <w:r>
        <w:rPr>
          <w:rFonts w:ascii="Calibri" w:hAnsi="Calibri"/>
          <w:b/>
          <w:color w:val="2B579A"/>
          <w:sz w:val="32"/>
        </w:rPr>
        <w:t>Document Purpose</w:t>
      </w:r>
    </w:p>
    <w:p>
      <w:pPr>
        <w:pStyle w:val="Mark2wordBody"/>
        <w:spacing w:line="269" w:lineRule="auto" w:before="120" w:after="0"/>
      </w:pPr>
      <w:r>
        <w:rPr>
          <w:rFonts w:ascii="Calibri" w:hAnsi="Calibri"/>
          <w:color w:val="1A1A1A"/>
          <w:sz w:val="22"/>
        </w:rPr>
        <w:t xml:space="preserve">This document demonstrates how mark2word can take a Markdown document with a little extra invisible style and make it a polished Word file. For </w:t>
      </w:r>
      <w:r>
        <w:rPr>
          <w:rFonts w:ascii="Calibri" w:hAnsi="Calibri"/>
          <w:b/>
          <w:color w:val="1A1A1A"/>
          <w:sz w:val="22"/>
        </w:rPr>
        <w:t>human work</w:t>
      </w:r>
      <w:r>
        <w:rPr>
          <w:rFonts w:ascii="Calibri" w:hAnsi="Calibri"/>
          <w:color w:val="1A1A1A"/>
          <w:sz w:val="22"/>
        </w:rPr>
        <w:t xml:space="preserve">, it can be an easy way to separate drafting your documents and polishing the style, letting you focus on each separately before you're ready to compile them together into a Word document. For </w:t>
      </w:r>
      <w:r>
        <w:rPr>
          <w:rFonts w:ascii="Calibri" w:hAnsi="Calibri"/>
          <w:b/>
          <w:color w:val="1A1A1A"/>
          <w:sz w:val="22"/>
        </w:rPr>
        <w:t>working with agents</w:t>
      </w:r>
      <w:r>
        <w:rPr>
          <w:rFonts w:ascii="Calibri" w:hAnsi="Calibri"/>
          <w:color w:val="1A1A1A"/>
          <w:sz w:val="22"/>
        </w:rPr>
        <w:t>, Markdown provides a simple yet expressive output format, and keeping the style and text separate lets the agent focus on the content of your document rather than writing another Python script or messing with XML.</w:t>
      </w:r>
    </w:p>
    <w:p>
      <w:pPr>
        <w:pStyle w:val="Mark2wordBody"/>
        <w:spacing w:line="269" w:lineRule="auto" w:before="80" w:after="0"/>
      </w:pPr>
      <w:r>
        <w:rPr>
          <w:rFonts w:ascii="Calibri" w:hAnsi="Calibri"/>
          <w:color w:val="1A1A1A"/>
          <w:sz w:val="22"/>
        </w:rPr>
        <w:t>Plus, since the styling only uses the front-matter, YAML, or comments, the Markdown files still render in any viewer.</w:t>
      </w:r>
    </w:p>
    <w:p>
      <w:pPr>
        <w:pStyle w:val="Heading3"/>
        <w:spacing w:before="240" w:after="0"/>
      </w:pPr>
      <w:r>
        <w:rPr>
          <w:rFonts w:ascii="Calibri" w:hAnsi="Calibri"/>
          <w:b/>
          <w:i/>
          <w:color w:val="2B579A"/>
          <w:sz w:val="26"/>
        </w:rPr>
        <w:t>Heading Level Three</w:t>
      </w:r>
    </w:p>
    <w:p>
      <w:pPr>
        <w:pStyle w:val="Heading4"/>
        <w:spacing w:before="0" w:after="0"/>
      </w:pPr>
      <w:r>
        <w:rPr>
          <w:rFonts w:ascii="Calibri" w:hAnsi="Calibri"/>
          <w:b/>
          <w:color w:val="2B579A"/>
          <w:sz w:val="24"/>
        </w:rPr>
        <w:t>Heading Level Four</w:t>
      </w:r>
    </w:p>
    <w:p>
      <w:pPr>
        <w:pStyle w:val="Heading5"/>
        <w:spacing w:before="0" w:after="0"/>
      </w:pPr>
      <w:r>
        <w:rPr>
          <w:rFonts w:ascii="Calibri" w:hAnsi="Calibri"/>
          <w:b/>
          <w:color w:val="404040"/>
          <w:sz w:val="22"/>
        </w:rPr>
        <w:t>Heading Level Five</w:t>
      </w:r>
    </w:p>
    <w:p>
      <w:pPr>
        <w:pStyle w:val="Heading6"/>
        <w:spacing w:before="0" w:after="0"/>
      </w:pPr>
      <w:r>
        <w:rPr>
          <w:rFonts w:ascii="Calibri" w:hAnsi="Calibri"/>
          <w:b/>
          <w:i/>
          <w:color w:val="666666"/>
          <w:sz w:val="20"/>
        </w:rPr>
        <w:t>Heading Level Six</w:t>
      </w:r>
    </w:p>
    <w:p>
      <w:pPr>
        <w:pStyle w:val="Heading2"/>
        <w:pBdr>
          <w:bottom w:val="single" w:sz="6" w:space="2" w:color="2B579A"/>
        </w:pBdr>
        <w:spacing w:before="320" w:after="0"/>
      </w:pPr>
      <w:r>
        <w:rPr>
          <w:rFonts w:ascii="Calibri" w:hAnsi="Calibri"/>
          <w:b/>
          <w:color w:val="2B579A"/>
          <w:sz w:val="32"/>
        </w:rPr>
        <w:t>Inline Markup</w:t>
      </w:r>
    </w:p>
    <w:p>
      <w:pPr>
        <w:pStyle w:val="Mark2wordBody"/>
        <w:spacing w:line="269" w:lineRule="auto" w:before="120" w:after="0"/>
      </w:pPr>
      <w:r>
        <w:rPr>
          <w:rFonts w:ascii="Calibri" w:hAnsi="Calibri"/>
          <w:color w:val="1A1A1A"/>
          <w:sz w:val="22"/>
        </w:rPr>
        <w:t xml:space="preserve">A plain body paragraph with </w:t>
      </w:r>
      <w:r>
        <w:rPr>
          <w:rFonts w:ascii="Calibri" w:hAnsi="Calibri"/>
          <w:b/>
          <w:color w:val="1A1A1A"/>
          <w:sz w:val="22"/>
        </w:rPr>
        <w:t>bold</w:t>
      </w:r>
      <w:r>
        <w:rPr>
          <w:rFonts w:ascii="Calibri" w:hAnsi="Calibri"/>
          <w:color w:val="1A1A1A"/>
          <w:sz w:val="22"/>
        </w:rPr>
        <w:t xml:space="preserve">, </w:t>
      </w:r>
      <w:r>
        <w:rPr>
          <w:rFonts w:ascii="Calibri" w:hAnsi="Calibri"/>
          <w:i/>
          <w:color w:val="1A1A1A"/>
          <w:sz w:val="22"/>
        </w:rPr>
        <w:t>italic</w:t>
      </w:r>
      <w:r>
        <w:rPr>
          <w:rFonts w:ascii="Calibri" w:hAnsi="Calibri"/>
          <w:color w:val="1A1A1A"/>
          <w:sz w:val="22"/>
        </w:rPr>
        <w:t xml:space="preserve">, </w:t>
      </w:r>
      <w:r>
        <w:rPr>
          <w:rFonts w:ascii="Calibri" w:hAnsi="Calibri"/>
          <w:b/>
          <w:i/>
          <w:color w:val="1A1A1A"/>
          <w:sz w:val="22"/>
        </w:rPr>
        <w:t>bold italic</w:t>
      </w:r>
      <w:r>
        <w:rPr>
          <w:rFonts w:ascii="Calibri" w:hAnsi="Calibri"/>
          <w:color w:val="1A1A1A"/>
          <w:sz w:val="22"/>
        </w:rPr>
        <w:t xml:space="preserve">, </w:t>
      </w:r>
      <w:r>
        <w:rPr>
          <w:rFonts w:ascii="Calibri" w:hAnsi="Calibri"/>
          <w:i/>
          <w:color w:val="1A1A1A"/>
          <w:sz w:val="22"/>
        </w:rPr>
        <w:t>underscore italic</w:t>
      </w:r>
      <w:r>
        <w:rPr>
          <w:rFonts w:ascii="Calibri" w:hAnsi="Calibri"/>
          <w:color w:val="1A1A1A"/>
          <w:sz w:val="22"/>
        </w:rPr>
        <w:t xml:space="preserve">, </w:t>
      </w:r>
      <w:r>
        <w:rPr>
          <w:rFonts w:ascii="Calibri" w:hAnsi="Calibri"/>
          <w:b/>
          <w:color w:val="1A1A1A"/>
          <w:sz w:val="22"/>
        </w:rPr>
        <w:t>underscore bold</w:t>
      </w:r>
      <w:r>
        <w:rPr>
          <w:rFonts w:ascii="Calibri" w:hAnsi="Calibri"/>
          <w:color w:val="1A1A1A"/>
          <w:sz w:val="22"/>
        </w:rPr>
        <w:t xml:space="preserve">, and </w:t>
      </w:r>
      <w:r>
        <w:rPr>
          <w:rFonts w:ascii="Consolas" w:hAnsi="Consolas"/>
          <w:color w:val="1F497D"/>
          <w:sz w:val="18"/>
        </w:rPr>
        <w:t>inline code</w:t>
      </w:r>
      <w:r>
        <w:rPr>
          <w:rFonts w:ascii="Calibri" w:hAnsi="Calibri"/>
          <w:color w:val="1A1A1A"/>
          <w:sz w:val="22"/>
        </w:rPr>
        <w:t xml:space="preserve">. Adding links also works: </w:t>
      </w:r>
      <w:hyperlink r:id="rId9">
        <w:r>
          <w:rPr>
            <w:color w:val="1A1A1A"/>
            <w:u w:val="single"/>
          </w:rPr>
          <w:t>mark2word on GitHub</w:t>
        </w:r>
      </w:hyperlink>
      <w:r>
        <w:rPr>
          <w:rFonts w:ascii="Calibri" w:hAnsi="Calibri"/>
          <w:color w:val="1A1A1A"/>
          <w:sz w:val="22"/>
        </w:rPr>
        <w:t xml:space="preserve">. You can even use </w:t>
      </w:r>
      <w:r>
        <w:rPr>
          <w:rFonts w:ascii="Consolas" w:hAnsi="Consolas"/>
          <w:color w:val="1F497D"/>
          <w:sz w:val="18"/>
        </w:rPr>
        <w:t>||</w:t>
      </w:r>
      <w:r>
        <w:rPr>
          <w:rFonts w:ascii="Calibri" w:hAnsi="Calibri"/>
          <w:color w:val="1A1A1A"/>
          <w:sz w:val="22"/>
        </w:rPr>
        <w:t xml:space="preserve"> in the middle of a line to split it into left- and right-aligned sides.</w:t>
      </w:r>
    </w:p>
    <w:p>
      <w:pPr>
        <w:pStyle w:val="Mark2wordBody"/>
        <w:tabs>
          <w:tab w:pos="10080" w:val="right"/>
        </w:tabs>
        <w:spacing w:line="269" w:lineRule="auto" w:before="80" w:after="0"/>
      </w:pPr>
      <w:r>
        <w:rPr>
          <w:rFonts w:ascii="Calibri" w:hAnsi="Calibri"/>
          <w:color w:val="1A1A1A"/>
          <w:sz w:val="22"/>
        </w:rPr>
        <w:t>Left-aligned Text</w:t>
      </w:r>
      <w:r>
        <w:tab/>
      </w:r>
      <w:r>
        <w:rPr>
          <w:rFonts w:ascii="Calibri" w:hAnsi="Calibri"/>
          <w:color w:val="1A1A1A"/>
          <w:sz w:val="22"/>
        </w:rPr>
        <w:t>Right-aligned Text</w:t>
      </w:r>
    </w:p>
    <w:p>
      <w:pPr>
        <w:pStyle w:val="Mark2wordBody"/>
        <w:spacing w:line="269" w:lineRule="auto" w:before="160" w:after="0"/>
        <w:ind w:left="480"/>
        <w:jc w:val="center"/>
      </w:pPr>
      <w:r>
        <w:rPr>
          <w:rFonts w:ascii="Georgia" w:hAnsi="Georgia"/>
          <w:i/>
          <w:color w:val="943634"/>
          <w:sz w:val="26"/>
        </w:rPr>
        <w:t>You can even add in custom styling: the same Markdown skeleton can look like a memo, a proposal, or a résumé depending on the YAML you attach.</w:t>
      </w:r>
    </w:p>
    <w:p>
      <w:pPr>
        <w:pStyle w:val="Heading2"/>
        <w:pBdr>
          <w:bottom w:val="single" w:sz="6" w:space="2" w:color="2B579A"/>
        </w:pBdr>
        <w:spacing w:before="320" w:after="0"/>
      </w:pPr>
      <w:r>
        <w:rPr>
          <w:rFonts w:ascii="Calibri" w:hAnsi="Calibri"/>
          <w:b/>
          <w:color w:val="2B579A"/>
          <w:sz w:val="32"/>
        </w:rPr>
        <w:t>Lists</w:t>
      </w:r>
    </w:p>
    <w:p>
      <w:pPr>
        <w:pStyle w:val="Mark2wordBody"/>
        <w:spacing w:line="269" w:lineRule="auto" w:before="120" w:after="0"/>
      </w:pPr>
      <w:r>
        <w:rPr>
          <w:rFonts w:ascii="Calibri" w:hAnsi="Calibri"/>
          <w:b/>
          <w:color w:val="1A1A1A"/>
          <w:sz w:val="22"/>
        </w:rPr>
        <w:t>Unordered Lists</w:t>
      </w:r>
    </w:p>
    <w:p>
      <w:pPr>
        <w:pStyle w:val="ListBullet"/>
        <w:numPr>
          <w:ilvl w:val="0"/>
          <w:numId w:val="10"/>
        </w:numPr>
        <w:spacing w:before="80" w:after="0"/>
      </w:pPr>
      <w:r>
        <w:rPr>
          <w:rFonts w:ascii="Calibri" w:hAnsi="Calibri"/>
          <w:color w:val="1A1A1A"/>
          <w:sz w:val="22"/>
        </w:rPr>
        <w:t>Markdown unordered lists</w:t>
      </w:r>
    </w:p>
    <w:p>
      <w:pPr>
        <w:pStyle w:val="ListBullet"/>
        <w:numPr>
          <w:ilvl w:val="0"/>
          <w:numId w:val="10"/>
        </w:numPr>
        <w:spacing w:before="60" w:after="0"/>
      </w:pPr>
      <w:r>
        <w:rPr>
          <w:rFonts w:ascii="Calibri" w:hAnsi="Calibri"/>
          <w:color w:val="1A1A1A"/>
          <w:sz w:val="22"/>
        </w:rPr>
        <w:t>work just like you would expect,</w:t>
      </w:r>
    </w:p>
    <w:p>
      <w:pPr>
        <w:pStyle w:val="ListBullet"/>
        <w:numPr>
          <w:ilvl w:val="1"/>
          <w:numId w:val="10"/>
        </w:numPr>
        <w:spacing w:before="60" w:after="0"/>
      </w:pPr>
      <w:r>
        <w:rPr>
          <w:rFonts w:ascii="Calibri" w:hAnsi="Calibri"/>
          <w:color w:val="1A1A1A"/>
          <w:sz w:val="22"/>
        </w:rPr>
        <w:t>and nested bullets inherit list indentation.</w:t>
      </w:r>
    </w:p>
    <w:p>
      <w:pPr>
        <w:pStyle w:val="ListBullet"/>
        <w:numPr>
          <w:ilvl w:val="1"/>
          <w:numId w:val="10"/>
        </w:numPr>
        <w:spacing w:before="60" w:after="0"/>
      </w:pPr>
      <w:r>
        <w:rPr>
          <w:rFonts w:ascii="Calibri" w:hAnsi="Calibri"/>
          <w:color w:val="1A1A1A"/>
          <w:sz w:val="22"/>
        </w:rPr>
        <w:t xml:space="preserve">Their styling comes from the </w:t>
      </w:r>
      <w:r>
        <w:rPr>
          <w:rFonts w:ascii="Consolas" w:hAnsi="Consolas"/>
          <w:color w:val="1F497D"/>
          <w:sz w:val="18"/>
        </w:rPr>
        <w:t>list</w:t>
      </w:r>
      <w:r>
        <w:rPr>
          <w:rFonts w:ascii="Calibri" w:hAnsi="Calibri"/>
          <w:color w:val="1A1A1A"/>
          <w:sz w:val="22"/>
        </w:rPr>
        <w:t xml:space="preserve"> theme block.</w:t>
      </w:r>
    </w:p>
    <w:p>
      <w:pPr>
        <w:pStyle w:val="ListBullet"/>
        <w:numPr>
          <w:ilvl w:val="0"/>
          <w:numId w:val="10"/>
        </w:numPr>
        <w:spacing w:before="60" w:after="0"/>
      </w:pPr>
      <w:r>
        <w:rPr>
          <w:rFonts w:ascii="Calibri" w:hAnsi="Calibri"/>
          <w:color w:val="1A1A1A"/>
          <w:sz w:val="22"/>
        </w:rPr>
        <w:t>Making it easy to use!</w:t>
      </w:r>
    </w:p>
    <w:p>
      <w:pPr>
        <w:pStyle w:val="Mark2wordBody"/>
        <w:spacing w:line="269" w:lineRule="auto" w:before="120" w:after="0"/>
      </w:pPr>
      <w:r>
        <w:rPr>
          <w:rFonts w:ascii="Calibri" w:hAnsi="Calibri"/>
          <w:b/>
          <w:color w:val="1A1A1A"/>
          <w:sz w:val="22"/>
        </w:rPr>
        <w:t>Ordered Lists</w:t>
      </w:r>
    </w:p>
    <w:p>
      <w:pPr>
        <w:pStyle w:val="ListNumber"/>
        <w:numPr>
          <w:ilvl w:val="0"/>
          <w:numId w:val="11"/>
        </w:numPr>
        <w:spacing w:before="80" w:after="0"/>
      </w:pPr>
      <w:r>
        <w:rPr>
          <w:rFonts w:ascii="Calibri" w:hAnsi="Calibri"/>
          <w:color w:val="1A1A1A"/>
          <w:sz w:val="22"/>
        </w:rPr>
        <w:t>Markdown ordered lists</w:t>
      </w:r>
    </w:p>
    <w:p>
      <w:pPr>
        <w:pStyle w:val="ListNumber"/>
        <w:numPr>
          <w:ilvl w:val="0"/>
          <w:numId w:val="11"/>
        </w:numPr>
        <w:spacing w:before="60" w:after="0"/>
      </w:pPr>
      <w:r>
        <w:rPr>
          <w:rFonts w:ascii="Calibri" w:hAnsi="Calibri"/>
          <w:color w:val="1A1A1A"/>
          <w:sz w:val="22"/>
        </w:rPr>
        <w:t>also work as expected.</w:t>
      </w:r>
    </w:p>
    <w:p>
      <w:pPr>
        <w:pStyle w:val="ListNumber"/>
        <w:numPr>
          <w:ilvl w:val="1"/>
          <w:numId w:val="11"/>
        </w:numPr>
        <w:spacing w:before="60" w:after="0"/>
      </w:pPr>
      <w:r>
        <w:rPr>
          <w:rFonts w:ascii="Calibri" w:hAnsi="Calibri"/>
          <w:color w:val="1A1A1A"/>
          <w:sz w:val="22"/>
        </w:rPr>
        <w:t>Nested lists too!</w:t>
      </w:r>
    </w:p>
    <w:p>
      <w:pPr>
        <w:pStyle w:val="ListNumber"/>
        <w:numPr>
          <w:ilvl w:val="0"/>
          <w:numId w:val="11"/>
        </w:numPr>
        <w:spacing w:before="60" w:after="0"/>
      </w:pPr>
      <w:r>
        <w:rPr>
          <w:rFonts w:ascii="Calibri" w:hAnsi="Calibri"/>
          <w:color w:val="1A1A1A"/>
          <w:sz w:val="22"/>
        </w:rPr>
        <w:t>But look what happens if you split the list.</w:t>
      </w:r>
    </w:p>
    <w:p>
      <w:pPr>
        <w:pStyle w:val="Mark2wordBody"/>
        <w:spacing w:line="269" w:lineRule="auto" w:before="120" w:after="0"/>
      </w:pPr>
      <w:r>
        <w:rPr>
          <w:rFonts w:ascii="Calibri" w:hAnsi="Calibri"/>
          <w:color w:val="1A1A1A"/>
          <w:sz w:val="22"/>
        </w:rPr>
        <w:t>A body paragraph between lists restarts numbering.</w:t>
      </w:r>
    </w:p>
    <w:p>
      <w:pPr>
        <w:pStyle w:val="ListNumber"/>
        <w:numPr>
          <w:ilvl w:val="0"/>
          <w:numId w:val="12"/>
        </w:numPr>
        <w:spacing w:before="80" w:after="0"/>
      </w:pPr>
      <w:r>
        <w:rPr>
          <w:rFonts w:ascii="Calibri" w:hAnsi="Calibri"/>
          <w:color w:val="1A1A1A"/>
          <w:sz w:val="22"/>
        </w:rPr>
        <w:t>The first number of the list sets the start value for the ordered run,</w:t>
      </w:r>
    </w:p>
    <w:p>
      <w:pPr>
        <w:pStyle w:val="ListNumber"/>
        <w:numPr>
          <w:ilvl w:val="0"/>
          <w:numId w:val="12"/>
        </w:numPr>
        <w:spacing w:before="60" w:after="0"/>
      </w:pPr>
      <w:r>
        <w:rPr>
          <w:rFonts w:ascii="Calibri" w:hAnsi="Calibri"/>
          <w:color w:val="1A1A1A"/>
          <w:sz w:val="22"/>
        </w:rPr>
        <w:t>and the numbering continues within the new run.</w:t>
      </w:r>
    </w:p>
    <w:p>
      <w:pPr>
        <w:pStyle w:val="Heading2"/>
        <w:pBdr>
          <w:bottom w:val="single" w:sz="6" w:space="2" w:color="2B579A"/>
        </w:pBdr>
        <w:spacing w:before="320" w:after="0"/>
      </w:pPr>
      <w:r>
        <w:rPr>
          <w:rFonts w:ascii="Calibri" w:hAnsi="Calibri"/>
          <w:b/>
          <w:color w:val="2B579A"/>
          <w:sz w:val="32"/>
        </w:rPr>
        <w:t>Images</w:t>
      </w:r>
    </w:p>
    <w:p>
      <w:pPr>
        <w:pStyle w:val="Mark2wordBody"/>
        <w:spacing w:line="269" w:lineRule="auto" w:before="120" w:after="0"/>
      </w:pPr>
      <w:r>
        <w:rPr>
          <w:rFonts w:ascii="Calibri" w:hAnsi="Calibri"/>
          <w:color w:val="1A1A1A"/>
          <w:sz w:val="22"/>
        </w:rPr>
        <w:t>Markdown embedded images work like this:</w:t>
      </w:r>
    </w:p>
    <w:p>
      <w:pPr>
        <w:pStyle w:val="Mark2wordBody"/>
        <w:spacing w:before="80" w:after="0"/>
      </w:pPr>
      <w:r>
        <w:drawing>
          <wp:inline xmlns:a="http://schemas.openxmlformats.org/drawingml/2006/main" xmlns:pic="http://schemas.openxmlformats.org/drawingml/2006/picture">
            <wp:extent cx="127000" cy="127000"/>
            <wp:docPr id="1" name="Picture 1"/>
            <wp:cNvGraphicFramePr>
              <a:graphicFrameLocks noChangeAspect="1"/>
            </wp:cNvGraphicFramePr>
            <a:graphic>
              <a:graphicData uri="http://schemas.openxmlformats.org/drawingml/2006/picture">
                <pic:pic>
                  <pic:nvPicPr>
                    <pic:cNvPr id="0" name="sample.png"/>
                    <pic:cNvPicPr/>
                  </pic:nvPicPr>
                  <pic:blipFill>
                    <a:blip r:embed="rId10"/>
                    <a:stretch>
                      <a:fillRect/>
                    </a:stretch>
                  </pic:blipFill>
                  <pic:spPr>
                    <a:xfrm>
                      <a:off x="0" y="0"/>
                      <a:ext cx="127000" cy="127000"/>
                    </a:xfrm>
                    <a:prstGeom prst="rect"/>
                  </pic:spPr>
                </pic:pic>
              </a:graphicData>
            </a:graphic>
          </wp:inline>
        </w:drawing>
      </w:r>
    </w:p>
    <w:p>
      <w:pPr>
        <w:pStyle w:val="Heading2"/>
        <w:pBdr>
          <w:bottom w:val="single" w:sz="6" w:space="2" w:color="2B579A"/>
        </w:pBdr>
        <w:spacing w:before="320" w:after="0"/>
      </w:pPr>
      <w:r>
        <w:rPr>
          <w:rFonts w:ascii="Calibri" w:hAnsi="Calibri"/>
          <w:b/>
          <w:color w:val="2B579A"/>
          <w:sz w:val="32"/>
        </w:rPr>
        <w:t>Tables</w:t>
      </w:r>
    </w:p>
    <w:p>
      <w:pPr>
        <w:pStyle w:val="Mark2wordBody"/>
        <w:spacing w:line="269" w:lineRule="auto" w:before="120" w:after="0"/>
      </w:pPr>
      <w:r>
        <w:rPr>
          <w:rFonts w:ascii="Calibri" w:hAnsi="Calibri"/>
          <w:color w:val="1A1A1A"/>
          <w:sz w:val="22"/>
        </w:rPr>
        <w:t>Styled elements reference table: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2B579A"/>
          </w:tcPr>
          <w:p>
            <w:r>
              <w:rPr>
                <w:rFonts w:ascii="Calibri" w:hAnsi="Calibri"/>
                <w:b/>
                <w:color w:val="FFFFFF"/>
                <w:sz w:val="20"/>
              </w:rPr>
              <w:t>Element</w:t>
            </w:r>
          </w:p>
        </w:tc>
        <w:tc>
          <w:tcPr>
            <w:tcW w:type="dxa" w:w="3360"/>
            <w:shd w:val="clear" w:color="auto" w:fill="2B579A"/>
          </w:tcPr>
          <w:p>
            <w:r>
              <w:rPr>
                <w:rFonts w:ascii="Calibri" w:hAnsi="Calibri"/>
                <w:b/>
                <w:color w:val="FFFFFF"/>
                <w:sz w:val="20"/>
              </w:rPr>
              <w:t>What you write</w:t>
            </w:r>
          </w:p>
        </w:tc>
        <w:tc>
          <w:tcPr>
            <w:tcW w:type="dxa" w:w="3360"/>
            <w:shd w:val="clear" w:color="auto" w:fill="2B579A"/>
          </w:tcPr>
          <w:p>
            <w:r>
              <w:rPr>
                <w:rFonts w:ascii="Calibri" w:hAnsi="Calibri"/>
                <w:b/>
                <w:color w:val="FFFFFF"/>
                <w:sz w:val="20"/>
              </w:rPr>
              <w:t>What the theme controls</w:t>
            </w:r>
          </w:p>
        </w:tc>
      </w:tr>
      <w:tr>
        <w:tc>
          <w:tcPr>
            <w:tcW w:type="dxa" w:w="3360"/>
          </w:tcPr>
          <w:p>
            <w:r>
              <w:rPr>
                <w:rFonts w:ascii="Calibri" w:hAnsi="Calibri"/>
                <w:color w:val="1A1A1A"/>
                <w:sz w:val="20"/>
              </w:rPr>
              <w:t>Headings</w:t>
            </w:r>
          </w:p>
        </w:tc>
        <w:tc>
          <w:tcPr>
            <w:tcW w:type="dxa" w:w="3360"/>
          </w:tcPr>
          <w:p>
            <w:r>
              <w:rPr>
                <w:rFonts w:ascii="Calibri" w:hAnsi="Calibri"/>
                <w:color w:val="1A1A1A"/>
                <w:sz w:val="20"/>
              </w:rPr>
              <w:t>#</w:t>
            </w:r>
            <w:r>
              <w:rPr>
                <w:rFonts w:ascii="Calibri" w:hAnsi="Calibri"/>
                <w:color w:val="1A1A1A"/>
                <w:sz w:val="20"/>
              </w:rPr>
              <w:t xml:space="preserve"> through </w:t>
            </w:r>
            <w:r>
              <w:rPr>
                <w:rFonts w:ascii="Calibri" w:hAnsi="Calibri"/>
                <w:color w:val="1A1A1A"/>
                <w:sz w:val="20"/>
              </w:rPr>
              <w:t>######</w:t>
            </w:r>
          </w:p>
        </w:tc>
        <w:tc>
          <w:tcPr>
            <w:tcW w:type="dxa" w:w="3360"/>
          </w:tcPr>
          <w:p>
            <w:r>
              <w:rPr>
                <w:rFonts w:ascii="Calibri" w:hAnsi="Calibri"/>
                <w:color w:val="1A1A1A"/>
                <w:sz w:val="20"/>
              </w:rPr>
              <w:t>heading</w:t>
            </w:r>
            <w:r>
              <w:rPr>
                <w:rFonts w:ascii="Calibri" w:hAnsi="Calibri"/>
                <w:color w:val="1A1A1A"/>
                <w:sz w:val="20"/>
              </w:rPr>
              <w:t xml:space="preserve">, </w:t>
            </w:r>
            <w:r>
              <w:rPr>
                <w:rFonts w:ascii="Calibri" w:hAnsi="Calibri"/>
                <w:color w:val="1A1A1A"/>
                <w:sz w:val="20"/>
              </w:rPr>
              <w:t>h1</w:t>
            </w:r>
            <w:r>
              <w:rPr>
                <w:rFonts w:ascii="Calibri" w:hAnsi="Calibri"/>
                <w:color w:val="1A1A1A"/>
                <w:sz w:val="20"/>
              </w:rPr>
              <w:t>–</w:t>
            </w:r>
            <w:r>
              <w:rPr>
                <w:rFonts w:ascii="Calibri" w:hAnsi="Calibri"/>
                <w:color w:val="1A1A1A"/>
                <w:sz w:val="20"/>
              </w:rPr>
              <w:t>h6</w:t>
            </w:r>
            <w:r>
              <w:rPr>
                <w:rFonts w:ascii="Calibri" w:hAnsi="Calibri"/>
                <w:color w:val="1A1A1A"/>
                <w:sz w:val="20"/>
              </w:rPr>
              <w:t>, fonts, color, borders</w:t>
            </w:r>
          </w:p>
        </w:tc>
      </w:tr>
      <w:tr>
        <w:tc>
          <w:tcPr>
            <w:tcW w:type="dxa" w:w="3360"/>
          </w:tcPr>
          <w:p>
            <w:r>
              <w:rPr>
                <w:rFonts w:ascii="Calibri" w:hAnsi="Calibri"/>
                <w:color w:val="1A1A1A"/>
                <w:sz w:val="20"/>
              </w:rPr>
              <w:t>Body</w:t>
            </w:r>
          </w:p>
        </w:tc>
        <w:tc>
          <w:tcPr>
            <w:tcW w:type="dxa" w:w="3360"/>
          </w:tcPr>
          <w:p>
            <w:r>
              <w:rPr>
                <w:rFonts w:ascii="Calibri" w:hAnsi="Calibri"/>
                <w:color w:val="1A1A1A"/>
                <w:sz w:val="20"/>
              </w:rPr>
              <w:t>plain lines</w:t>
            </w:r>
          </w:p>
        </w:tc>
        <w:tc>
          <w:tcPr>
            <w:tcW w:type="dxa" w:w="3360"/>
          </w:tcPr>
          <w:p>
            <w:r>
              <w:rPr>
                <w:rFonts w:ascii="Calibri" w:hAnsi="Calibri"/>
                <w:color w:val="1A1A1A"/>
                <w:sz w:val="20"/>
              </w:rPr>
              <w:t>body</w:t>
            </w:r>
            <w:r>
              <w:rPr>
                <w:rFonts w:ascii="Calibri" w:hAnsi="Calibri"/>
                <w:color w:val="1A1A1A"/>
                <w:sz w:val="20"/>
              </w:rPr>
              <w:t xml:space="preserve">, </w:t>
            </w:r>
            <w:r>
              <w:rPr>
                <w:rFonts w:ascii="Calibri" w:hAnsi="Calibri"/>
                <w:color w:val="1A1A1A"/>
                <w:sz w:val="20"/>
              </w:rPr>
              <w:t>text</w:t>
            </w:r>
            <w:r>
              <w:rPr>
                <w:rFonts w:ascii="Calibri" w:hAnsi="Calibri"/>
                <w:color w:val="1A1A1A"/>
                <w:sz w:val="20"/>
              </w:rPr>
              <w:t>, spacing, alignment</w:t>
            </w:r>
          </w:p>
        </w:tc>
      </w:tr>
      <w:tr>
        <w:tc>
          <w:tcPr>
            <w:tcW w:type="dxa" w:w="3360"/>
          </w:tcPr>
          <w:p>
            <w:r>
              <w:rPr>
                <w:rFonts w:ascii="Calibri" w:hAnsi="Calibri"/>
                <w:color w:val="1A1A1A"/>
                <w:sz w:val="20"/>
              </w:rPr>
              <w:t>Lists</w:t>
            </w:r>
          </w:p>
        </w:tc>
        <w:tc>
          <w:tcPr>
            <w:tcW w:type="dxa" w:w="3360"/>
          </w:tcPr>
          <w:p>
            <w:r>
              <w:rPr>
                <w:rFonts w:ascii="Calibri" w:hAnsi="Calibri"/>
                <w:color w:val="1A1A1A"/>
                <w:sz w:val="20"/>
              </w:rPr>
              <w:t>- item</w:t>
            </w:r>
            <w:r>
              <w:rPr>
                <w:rFonts w:ascii="Calibri" w:hAnsi="Calibri"/>
                <w:color w:val="1A1A1A"/>
                <w:sz w:val="20"/>
              </w:rPr>
              <w:t xml:space="preserve"> / </w:t>
            </w:r>
            <w:r>
              <w:rPr>
                <w:rFonts w:ascii="Calibri" w:hAnsi="Calibri"/>
                <w:color w:val="1A1A1A"/>
                <w:sz w:val="20"/>
              </w:rPr>
              <w:t>1. item</w:t>
            </w:r>
          </w:p>
        </w:tc>
        <w:tc>
          <w:tcPr>
            <w:tcW w:type="dxa" w:w="3360"/>
          </w:tcPr>
          <w:p>
            <w:r>
              <w:rPr>
                <w:rFonts w:ascii="Calibri" w:hAnsi="Calibri"/>
                <w:color w:val="1A1A1A"/>
                <w:sz w:val="20"/>
              </w:rPr>
              <w:t>list</w:t>
            </w:r>
            <w:r>
              <w:rPr>
                <w:rFonts w:ascii="Calibri" w:hAnsi="Calibri"/>
                <w:color w:val="1A1A1A"/>
                <w:sz w:val="20"/>
              </w:rPr>
              <w:t xml:space="preserve">, indents, </w:t>
            </w:r>
            <w:r>
              <w:rPr>
                <w:rFonts w:ascii="Calibri" w:hAnsi="Calibri"/>
                <w:color w:val="1A1A1A"/>
                <w:sz w:val="20"/>
              </w:rPr>
              <w:t>space_between</w:t>
            </w:r>
          </w:p>
        </w:tc>
      </w:tr>
      <w:tr>
        <w:tc>
          <w:tcPr>
            <w:tcW w:type="dxa" w:w="3360"/>
          </w:tcPr>
          <w:p>
            <w:r>
              <w:rPr>
                <w:rFonts w:ascii="Calibri" w:hAnsi="Calibri"/>
                <w:color w:val="1A1A1A"/>
                <w:sz w:val="20"/>
              </w:rPr>
              <w:t>Regions</w:t>
            </w:r>
          </w:p>
        </w:tc>
        <w:tc>
          <w:tcPr>
            <w:tcW w:type="dxa" w:w="3360"/>
          </w:tcPr>
          <w:p>
            <w:r>
              <w:rPr>
                <w:rFonts w:ascii="Calibri" w:hAnsi="Calibri"/>
                <w:color w:val="1A1A1A"/>
                <w:sz w:val="20"/>
              </w:rPr>
              <w:t>&lt;!-- region: name --&gt;</w:t>
            </w:r>
          </w:p>
        </w:tc>
        <w:tc>
          <w:tcPr>
            <w:tcW w:type="dxa" w:w="3360"/>
          </w:tcPr>
          <w:p>
            <w:r>
              <w:rPr>
                <w:rFonts w:ascii="Calibri" w:hAnsi="Calibri"/>
                <w:color w:val="1A1A1A"/>
                <w:sz w:val="20"/>
              </w:rPr>
              <w:t>$name</w:t>
            </w:r>
            <w:r>
              <w:rPr>
                <w:rFonts w:ascii="Calibri" w:hAnsi="Calibri"/>
                <w:color w:val="1A1A1A"/>
                <w:sz w:val="20"/>
              </w:rPr>
              <w:t xml:space="preserve"> blocks with nested targets</w:t>
            </w:r>
          </w:p>
        </w:tc>
      </w:tr>
      <w:tr>
        <w:tc>
          <w:tcPr>
            <w:tcW w:type="dxa" w:w="3360"/>
          </w:tcPr>
          <w:p>
            <w:r>
              <w:rPr>
                <w:rFonts w:ascii="Calibri" w:hAnsi="Calibri"/>
                <w:color w:val="1A1A1A"/>
                <w:sz w:val="20"/>
              </w:rPr>
              <w:t>Tables</w:t>
            </w:r>
          </w:p>
        </w:tc>
        <w:tc>
          <w:tcPr>
            <w:tcW w:type="dxa" w:w="3360"/>
          </w:tcPr>
          <w:p>
            <w:r>
              <w:rPr>
                <w:rFonts w:ascii="Calibri" w:hAnsi="Calibri"/>
                <w:color w:val="1A1A1A"/>
                <w:sz w:val="20"/>
              </w:rPr>
              <w:t>pipe tables</w:t>
            </w:r>
          </w:p>
        </w:tc>
        <w:tc>
          <w:tcPr>
            <w:tcW w:type="dxa" w:w="3360"/>
          </w:tcPr>
          <w:p>
            <w:r>
              <w:rPr>
                <w:rFonts w:ascii="Calibri" w:hAnsi="Calibri"/>
                <w:color w:val="1A1A1A"/>
                <w:sz w:val="20"/>
              </w:rPr>
              <w:t>table</w:t>
            </w:r>
            <w:r>
              <w:rPr>
                <w:rFonts w:ascii="Calibri" w:hAnsi="Calibri"/>
                <w:color w:val="1A1A1A"/>
                <w:sz w:val="20"/>
              </w:rPr>
              <w:t xml:space="preserve">, </w:t>
            </w:r>
            <w:r>
              <w:rPr>
                <w:rFonts w:ascii="Calibri" w:hAnsi="Calibri"/>
                <w:color w:val="1A1A1A"/>
                <w:sz w:val="20"/>
              </w:rPr>
              <w:t>th</w:t>
            </w:r>
            <w:r>
              <w:rPr>
                <w:rFonts w:ascii="Calibri" w:hAnsi="Calibri"/>
                <w:color w:val="1A1A1A"/>
                <w:sz w:val="20"/>
              </w:rPr>
              <w:t xml:space="preserve">, </w:t>
            </w:r>
            <w:r>
              <w:rPr>
                <w:rFonts w:ascii="Calibri" w:hAnsi="Calibri"/>
                <w:color w:val="1A1A1A"/>
                <w:sz w:val="20"/>
              </w:rPr>
              <w:t>td</w:t>
            </w:r>
            <w:r>
              <w:rPr>
                <w:rFonts w:ascii="Calibri" w:hAnsi="Calibri"/>
                <w:color w:val="1A1A1A"/>
                <w:sz w:val="20"/>
              </w:rPr>
              <w:t xml:space="preserve">, </w:t>
            </w:r>
            <w:r>
              <w:rPr>
                <w:rFonts w:ascii="Calibri" w:hAnsi="Calibri"/>
                <w:color w:val="1A1A1A"/>
                <w:sz w:val="20"/>
              </w:rPr>
              <w:t>fill</w:t>
            </w:r>
          </w:p>
        </w:tc>
      </w:tr>
      <w:tr>
        <w:tc>
          <w:tcPr>
            <w:tcW w:type="dxa" w:w="3360"/>
          </w:tcPr>
          <w:p>
            <w:r>
              <w:rPr>
                <w:rFonts w:ascii="Calibri" w:hAnsi="Calibri"/>
                <w:color w:val="1A1A1A"/>
                <w:sz w:val="20"/>
              </w:rPr>
              <w:t>Code</w:t>
            </w:r>
          </w:p>
        </w:tc>
        <w:tc>
          <w:tcPr>
            <w:tcW w:type="dxa" w:w="3360"/>
          </w:tcPr>
          <w:p>
            <w:r>
              <w:rPr>
                <w:rFonts w:ascii="Calibri" w:hAnsi="Calibri"/>
                <w:color w:val="1A1A1A"/>
                <w:sz w:val="20"/>
              </w:rPr>
              <w:t>fenced blocks</w:t>
            </w:r>
          </w:p>
        </w:tc>
        <w:tc>
          <w:tcPr>
            <w:tcW w:type="dxa" w:w="3360"/>
          </w:tcPr>
          <w:p>
            <w:r>
              <w:rPr>
                <w:rFonts w:ascii="Calibri" w:hAnsi="Calibri"/>
                <w:color w:val="1A1A1A"/>
                <w:sz w:val="20"/>
              </w:rPr>
              <w:t>code</w:t>
            </w:r>
            <w:r>
              <w:rPr>
                <w:rFonts w:ascii="Calibri" w:hAnsi="Calibri"/>
                <w:color w:val="1A1A1A"/>
                <w:sz w:val="20"/>
              </w:rPr>
              <w:t xml:space="preserve"> font, size, color</w:t>
            </w:r>
          </w:p>
        </w:tc>
      </w:tr>
    </w:tbl>
    <w:p>
      <w:pPr>
        <w:pStyle w:val="Heading2"/>
        <w:pBdr>
          <w:bottom w:val="single" w:sz="6" w:space="2" w:color="2B579A"/>
        </w:pBdr>
        <w:spacing w:before="320" w:after="0"/>
      </w:pPr>
      <w:r>
        <w:rPr>
          <w:rFonts w:ascii="Calibri" w:hAnsi="Calibri"/>
          <w:b/>
          <w:color w:val="2B579A"/>
          <w:sz w:val="32"/>
        </w:rPr>
        <w:t>Code Block</w:t>
      </w:r>
    </w:p>
    <w:p>
      <w:pPr>
        <w:pStyle w:val="Mark2wordBody"/>
        <w:spacing w:line="269" w:lineRule="auto" w:before="120" w:after="0"/>
      </w:pPr>
      <w:r>
        <w:rPr>
          <w:rFonts w:ascii="Calibri" w:hAnsi="Calibri"/>
          <w:color w:val="1A1A1A"/>
          <w:sz w:val="22"/>
        </w:rPr>
        <w:t>The delimiter below is preserved inside fenced code:</w:t>
      </w:r>
    </w:p>
    <w:p>
      <w:pPr>
        <w:pStyle w:val="Mark2wordCode"/>
        <w:spacing w:line="269" w:lineRule="auto" w:before="80" w:after="0"/>
      </w:pPr>
      <w:r>
        <w:rPr>
          <w:rFonts w:ascii="Consolas" w:hAnsi="Consolas"/>
          <w:color w:val="1F497D"/>
          <w:sz w:val="18"/>
        </w:rPr>
        <w:t># Pipes in code are not dual-alignment markers</w:t>
        <w:br/>
      </w:r>
      <w:r>
        <w:rPr>
          <w:rFonts w:ascii="Consolas" w:hAnsi="Consolas"/>
          <w:color w:val="1F497D"/>
          <w:sz w:val="18"/>
        </w:rPr>
        <w:t>label = "left || right"</w:t>
        <w:br/>
      </w:r>
      <w:r>
        <w:rPr>
          <w:rFonts w:ascii="Consolas" w:hAnsi="Consolas"/>
          <w:color w:val="1F497D"/>
          <w:sz w:val="18"/>
        </w:rPr>
        <w:t>print(label)</w:t>
        <w:br/>
      </w:r>
    </w:p>
    <w:p>
      <w:pPr>
        <w:pStyle w:val="Heading2"/>
        <w:pBdr>
          <w:bottom w:val="single" w:sz="6" w:space="2" w:color="2B579A"/>
        </w:pBdr>
        <w:spacing w:before="320" w:after="0"/>
      </w:pPr>
      <w:r>
        <w:rPr>
          <w:rFonts w:ascii="Calibri" w:hAnsi="Calibri"/>
          <w:b/>
          <w:color w:val="2B579A"/>
          <w:sz w:val="32"/>
        </w:rPr>
        <w:t>Region/Theme Tips</w:t>
      </w:r>
    </w:p>
    <w:p>
      <w:pPr>
        <w:pStyle w:val="Mark2wordBody"/>
        <w:spacing w:line="260" w:lineRule="exact" w:before="120" w:after="0"/>
        <w:ind w:left="400"/>
      </w:pPr>
      <w:r>
        <w:rPr>
          <w:rFonts w:ascii="Calibri" w:hAnsi="Calibri"/>
          <w:b/>
          <w:color w:val="1F4E79"/>
          <w:sz w:val="18"/>
        </w:rPr>
        <w:t>Theme tips</w:t>
      </w:r>
    </w:p>
    <w:p>
      <w:pPr>
        <w:pStyle w:val="ListBullet"/>
        <w:numPr>
          <w:ilvl w:val="0"/>
          <w:numId w:val="13"/>
        </w:numPr>
        <w:spacing w:before="40" w:after="0"/>
      </w:pPr>
      <w:r>
        <w:rPr>
          <w:rFonts w:ascii="Calibri" w:hAnsi="Calibri"/>
          <w:color w:val="1F4E79"/>
          <w:sz w:val="22"/>
        </w:rPr>
        <w:t xml:space="preserve">Quote hex colors in the YAML theme - </w:t>
      </w:r>
      <w:r>
        <w:rPr>
          <w:rFonts w:ascii="Consolas" w:hAnsi="Consolas"/>
          <w:color w:val="1F497D"/>
          <w:sz w:val="18"/>
        </w:rPr>
        <w:t>color: "5B5B5B"</w:t>
      </w:r>
    </w:p>
    <w:p>
      <w:pPr>
        <w:pStyle w:val="ListBullet"/>
        <w:numPr>
          <w:ilvl w:val="0"/>
          <w:numId w:val="13"/>
        </w:numPr>
        <w:spacing w:before="20" w:after="0"/>
      </w:pPr>
      <w:r>
        <w:rPr>
          <w:rFonts w:ascii="Calibri" w:hAnsi="Calibri"/>
          <w:color w:val="1F4E79"/>
          <w:sz w:val="22"/>
        </w:rPr>
        <w:t xml:space="preserve">Use </w:t>
      </w:r>
      <w:r>
        <w:rPr>
          <w:rFonts w:ascii="Consolas" w:hAnsi="Consolas"/>
          <w:color w:val="1F497D"/>
          <w:sz w:val="18"/>
        </w:rPr>
        <w:t>text</w:t>
      </w:r>
      <w:r>
        <w:rPr>
          <w:rFonts w:ascii="Calibri" w:hAnsi="Calibri"/>
          <w:color w:val="1F4E79"/>
          <w:sz w:val="22"/>
        </w:rPr>
        <w:t xml:space="preserve"> for shared body/list defaults</w:t>
      </w:r>
    </w:p>
    <w:p>
      <w:pPr>
        <w:pStyle w:val="ListBullet"/>
        <w:numPr>
          <w:ilvl w:val="0"/>
          <w:numId w:val="13"/>
        </w:numPr>
        <w:spacing w:before="20" w:after="0"/>
      </w:pPr>
      <w:r>
        <w:rPr>
          <w:rFonts w:ascii="Georgia" w:hAnsi="Georgia"/>
          <w:color w:val="008000"/>
          <w:sz w:val="22"/>
        </w:rPr>
        <w:t xml:space="preserve">Layer </w:t>
      </w:r>
      <w:r>
        <w:rPr>
          <w:rFonts w:ascii="Consolas" w:hAnsi="Consolas"/>
          <w:color w:val="1F497D"/>
          <w:sz w:val="18"/>
        </w:rPr>
        <w:t>$regions</w:t>
      </w:r>
      <w:r>
        <w:rPr>
          <w:rFonts w:ascii="Georgia" w:hAnsi="Georgia"/>
          <w:color w:val="008000"/>
          <w:sz w:val="22"/>
        </w:rPr>
        <w:t xml:space="preserve"> for local personality</w:t>
      </w:r>
    </w:p>
    <w:p>
      <w:pPr>
        <w:pStyle w:val="ListBullet"/>
        <w:numPr>
          <w:ilvl w:val="0"/>
          <w:numId w:val="13"/>
        </w:numPr>
        <w:spacing w:before="20" w:after="0"/>
      </w:pPr>
      <w:r>
        <w:rPr>
          <w:rFonts w:ascii="Georgia" w:hAnsi="Georgia"/>
          <w:color w:val="008000"/>
          <w:sz w:val="22"/>
        </w:rPr>
        <w:t>Override one margin without losing the rest via frontmatter</w:t>
      </w:r>
    </w:p>
    <w:p>
      <w:pPr>
        <w:pStyle w:val="ListBullet"/>
        <w:numPr>
          <w:ilvl w:val="0"/>
          <w:numId w:val="13"/>
        </w:numPr>
        <w:spacing w:before="60" w:after="0"/>
      </w:pPr>
      <w:r>
        <w:rPr>
          <w:rFonts w:ascii="Calibri" w:hAnsi="Calibri"/>
          <w:color w:val="943634"/>
          <w:sz w:val="22"/>
        </w:rPr>
        <w:t>You can even</w:t>
      </w:r>
    </w:p>
    <w:p>
      <w:pPr>
        <w:pStyle w:val="ListBullet"/>
        <w:numPr>
          <w:ilvl w:val="1"/>
          <w:numId w:val="13"/>
        </w:numPr>
        <w:spacing w:before="60" w:after="0"/>
      </w:pPr>
      <w:r>
        <w:rPr>
          <w:rFonts w:ascii="Calibri" w:hAnsi="Calibri"/>
          <w:color w:val="028010"/>
          <w:sz w:val="22"/>
        </w:rPr>
        <w:t>have different</w:t>
      </w:r>
    </w:p>
    <w:p>
      <w:pPr>
        <w:pStyle w:val="ListBullet"/>
        <w:numPr>
          <w:ilvl w:val="2"/>
          <w:numId w:val="13"/>
        </w:numPr>
        <w:spacing w:before="60" w:after="0"/>
      </w:pPr>
      <w:r>
        <w:rPr>
          <w:rFonts w:ascii="Calibri" w:hAnsi="Calibri"/>
          <w:color w:val="1F4E79"/>
          <w:sz w:val="22"/>
        </w:rPr>
        <w:t>styles for</w:t>
      </w:r>
    </w:p>
    <w:p>
      <w:pPr>
        <w:pStyle w:val="ListBullet"/>
        <w:numPr>
          <w:ilvl w:val="1"/>
          <w:numId w:val="13"/>
        </w:numPr>
        <w:spacing w:before="60" w:after="0"/>
      </w:pPr>
      <w:r>
        <w:rPr>
          <w:rFonts w:ascii="Calibri" w:hAnsi="Calibri"/>
          <w:color w:val="028010"/>
          <w:sz w:val="22"/>
        </w:rPr>
        <w:t>each level</w:t>
      </w:r>
    </w:p>
    <w:p>
      <w:pPr>
        <w:pStyle w:val="ListBullet"/>
        <w:numPr>
          <w:ilvl w:val="0"/>
          <w:numId w:val="13"/>
        </w:numPr>
        <w:spacing w:before="60" w:after="0"/>
      </w:pPr>
      <w:r>
        <w:rPr>
          <w:rFonts w:ascii="Calibri" w:hAnsi="Calibri"/>
          <w:color w:val="943634"/>
          <w:sz w:val="22"/>
        </w:rPr>
        <w:t>of list nesting!</w:t>
      </w:r>
    </w:p>
    <w:p>
      <w:pPr>
        <w:pStyle w:val="Mark2wordBody"/>
        <w:tabs>
          <w:tab w:pos="10080" w:val="right"/>
        </w:tabs>
        <w:spacing w:line="269" w:lineRule="auto" w:before="200" w:after="80"/>
        <w:jc w:val="center"/>
      </w:pPr>
      <w:r>
        <w:rPr>
          <w:rFonts w:ascii="Calibri" w:hAnsi="Calibri"/>
          <w:color w:val="7F7F7F"/>
          <w:sz w:val="16"/>
        </w:rPr>
        <w:t>mark2word showcase</w:t>
      </w:r>
      <w:r>
        <w:tab/>
      </w:r>
      <w:r>
        <w:rPr>
          <w:rFonts w:ascii="Calibri" w:hAnsi="Calibri"/>
          <w:color w:val="7F7F7F"/>
          <w:sz w:val="16"/>
        </w:rPr>
        <w:t>generated from docs/examples/showcase.md</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1">
    <w:multiLevelType w:val="multilevel"/>
    <w:lvl w:ilvl="0">
      <w:start w:val="1"/>
      <w:numFmt w:val="bullet"/>
      <w:lvlText w:val="•"/>
      <w:lvlJc w:val="left"/>
      <w:pPr>
        <w:ind w:left="200" w:hanging="200"/>
      </w:pPr>
    </w:lvl>
    <w:lvl w:ilvl="1">
      <w:start w:val="1"/>
      <w:numFmt w:val="bullet"/>
      <w:lvlText w:val="•"/>
      <w:lvlJc w:val="left"/>
      <w:pPr>
        <w:ind w:left="400" w:hanging="200"/>
      </w:pPr>
    </w:lvl>
    <w:lvl w:ilvl="2">
      <w:start w:val="1"/>
      <w:numFmt w:val="bullet"/>
      <w:lvlText w:val="•"/>
      <w:lvlJc w:val="left"/>
      <w:pPr>
        <w:ind w:left="600" w:hanging="200"/>
      </w:pPr>
    </w:lvl>
    <w:lvl w:ilvl="3">
      <w:start w:val="1"/>
      <w:numFmt w:val="bullet"/>
      <w:lvlText w:val="•"/>
      <w:lvlJc w:val="left"/>
      <w:pPr>
        <w:ind w:left="800" w:hanging="200"/>
      </w:pPr>
    </w:lvl>
    <w:lvl w:ilvl="4">
      <w:start w:val="1"/>
      <w:numFmt w:val="bullet"/>
      <w:lvlText w:val="•"/>
      <w:lvlJc w:val="left"/>
      <w:pPr>
        <w:ind w:left="1000" w:hanging="200"/>
      </w:pPr>
    </w:lvl>
    <w:lvl w:ilvl="5">
      <w:start w:val="1"/>
      <w:numFmt w:val="bullet"/>
      <w:lvlText w:val="•"/>
      <w:lvlJc w:val="left"/>
      <w:pPr>
        <w:ind w:left="1200" w:hanging="200"/>
      </w:pPr>
    </w:lvl>
    <w:lvl w:ilvl="6">
      <w:start w:val="1"/>
      <w:numFmt w:val="bullet"/>
      <w:lvlText w:val="•"/>
      <w:lvlJc w:val="left"/>
      <w:pPr>
        <w:ind w:left="1400" w:hanging="200"/>
      </w:pPr>
    </w:lvl>
    <w:lvl w:ilvl="7">
      <w:start w:val="1"/>
      <w:numFmt w:val="bullet"/>
      <w:lvlText w:val="•"/>
      <w:lvlJc w:val="left"/>
      <w:pPr>
        <w:ind w:left="1600" w:hanging="200"/>
      </w:pPr>
    </w:lvl>
    <w:lvl w:ilvl="8">
      <w:start w:val="1"/>
      <w:numFmt w:val="bullet"/>
      <w:lvlText w:val="•"/>
      <w:lvlJc w:val="left"/>
      <w:pPr>
        <w:ind w:left="1800" w:hanging="200"/>
      </w:pPr>
    </w:lvl>
  </w:abstractNum>
  <w:abstractNum w:abstractNumId="10">
    <w:multiLevelType w:val="multilevel"/>
    <w:lvl w:ilvl="0">
      <w:start w:val="1"/>
      <w:numFmt w:val="decimal"/>
      <w:lvlText w:val="%1."/>
      <w:lvlJc w:val="left"/>
      <w:pPr>
        <w:ind w:left="280" w:hanging="280"/>
      </w:pPr>
    </w:lvl>
    <w:lvl w:ilvl="1">
      <w:start w:val="1"/>
      <w:numFmt w:val="decimal"/>
      <w:lvlText w:val="%2."/>
      <w:lvlJc w:val="left"/>
      <w:pPr>
        <w:ind w:left="560" w:hanging="280"/>
      </w:pPr>
    </w:lvl>
    <w:lvl w:ilvl="2">
      <w:start w:val="1"/>
      <w:numFmt w:val="decimal"/>
      <w:lvlText w:val="%3."/>
      <w:lvlJc w:val="left"/>
      <w:pPr>
        <w:ind w:left="840" w:hanging="280"/>
      </w:pPr>
    </w:lvl>
    <w:lvl w:ilvl="3">
      <w:start w:val="1"/>
      <w:numFmt w:val="decimal"/>
      <w:lvlText w:val="%4."/>
      <w:lvlJc w:val="left"/>
      <w:pPr>
        <w:ind w:left="1120" w:hanging="280"/>
      </w:pPr>
    </w:lvl>
    <w:lvl w:ilvl="4">
      <w:start w:val="1"/>
      <w:numFmt w:val="decimal"/>
      <w:lvlText w:val="%5."/>
      <w:lvlJc w:val="left"/>
      <w:pPr>
        <w:ind w:left="1400" w:hanging="280"/>
      </w:pPr>
    </w:lvl>
    <w:lvl w:ilvl="5">
      <w:start w:val="1"/>
      <w:numFmt w:val="decimal"/>
      <w:lvlText w:val="%6."/>
      <w:lvlJc w:val="left"/>
      <w:pPr>
        <w:ind w:left="1680" w:hanging="280"/>
      </w:pPr>
    </w:lvl>
    <w:lvl w:ilvl="6">
      <w:start w:val="1"/>
      <w:numFmt w:val="decimal"/>
      <w:lvlText w:val="%7."/>
      <w:lvlJc w:val="left"/>
      <w:pPr>
        <w:ind w:left="1960" w:hanging="280"/>
      </w:pPr>
    </w:lvl>
    <w:lvl w:ilvl="7">
      <w:start w:val="1"/>
      <w:numFmt w:val="decimal"/>
      <w:lvlText w:val="%8."/>
      <w:lvlJc w:val="left"/>
      <w:pPr>
        <w:ind w:left="2240" w:hanging="280"/>
      </w:pPr>
    </w:lvl>
    <w:lvl w:ilvl="8">
      <w:start w:val="1"/>
      <w:numFmt w:val="decimal"/>
      <w:lvlText w:val="%9."/>
      <w:lvlJc w:val="left"/>
      <w:pPr>
        <w:ind w:left="2520" w:hanging="280"/>
      </w:pPr>
    </w:lvl>
  </w:abstractNum>
  <w:abstractNum w:abstractNumId="9">
    <w:multiLevelType w:val="multilevel"/>
    <w:lvl w:ilvl="0">
      <w:start w:val="1"/>
      <w:numFmt w:val="bullet"/>
      <w:lvlText w:val="•"/>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start w:val="1"/>
      <w:numFmt w:val="bullet"/>
      <w:lvlText w:val="•"/>
      <w:lvlJc w:val="left"/>
      <w:pPr>
        <w:ind w:left="1120" w:hanging="280"/>
      </w:pPr>
    </w:lvl>
    <w:lvl w:ilvl="4">
      <w:start w:val="1"/>
      <w:numFmt w:val="bullet"/>
      <w:lvlText w:val="•"/>
      <w:lvlJc w:val="left"/>
      <w:pPr>
        <w:ind w:left="1400" w:hanging="280"/>
      </w:pPr>
    </w:lvl>
    <w:lvl w:ilvl="5">
      <w:start w:val="1"/>
      <w:numFmt w:val="bullet"/>
      <w:lvlText w:val="•"/>
      <w:lvlJc w:val="left"/>
      <w:pPr>
        <w:ind w:left="1680" w:hanging="280"/>
      </w:pPr>
    </w:lvl>
    <w:lvl w:ilvl="6">
      <w:start w:val="1"/>
      <w:numFmt w:val="bullet"/>
      <w:lvlText w:val="•"/>
      <w:lvlJc w:val="left"/>
      <w:pPr>
        <w:ind w:left="1960" w:hanging="280"/>
      </w:pPr>
    </w:lvl>
    <w:lvl w:ilvl="7">
      <w:start w:val="1"/>
      <w:numFmt w:val="bullet"/>
      <w:lvlText w:val="•"/>
      <w:lvlJc w:val="left"/>
      <w:pPr>
        <w:ind w:left="2240" w:hanging="280"/>
      </w:pPr>
    </w:lvl>
    <w:lvl w:ilvl="8">
      <w:start w:val="1"/>
      <w:numFmt w:val="bullet"/>
      <w:lvlText w:val="•"/>
      <w:lvlJc w:val="left"/>
      <w:pPr>
        <w:ind w:left="2520" w:hanging="2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9"/>
    </w:lvlOverride>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579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2B579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579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666666"/>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ark2wordBody">
    <w:name w:val="Mark2word Body"/>
    <w:basedOn w:val="Normal"/>
    <w:pPr>
      <w:spacing w:before="0" w:after="0"/>
    </w:pPr>
    <w:rPr>
      <w:rFonts w:ascii="Calibri" w:hAnsi="Calibri"/>
      <w:color w:val="1A1A1A"/>
      <w:sz w:val="22"/>
    </w:rPr>
  </w:style>
  <w:style w:type="paragraph" w:styleId="Mark2wordCode">
    <w:name w:val="Mark2word Code"/>
    <w:basedOn w:val="Normal"/>
    <w:pPr>
      <w:spacing w:before="0" w:after="0"/>
    </w:pPr>
    <w:rPr>
      <w:rFonts w:ascii="Consolas" w:hAnsi="Consolas"/>
      <w:color w:val="1F49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ullans/mark2Word"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