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mark2word-style-gallery"/>
      <w:pPr>
        <w:pStyle w:val="Heading1"/>
        <w:spacing w:after="0"/>
        <w:jc w:val="center"/>
      </w:pPr>
      <w:bookmarkEnd w:id="0"/>
      <w:r>
        <w:rPr>
          <w:rFonts w:ascii="Aptos" w:hAnsi="Aptos"/>
          <w:b/>
          <w:color w:val="1F497D"/>
          <w:sz w:val="56"/>
        </w:rPr>
        <w:t>mark2word Style Gallery</w:t>
      </w:r>
    </w:p>
    <w:p>
      <w:pPr>
        <w:pStyle w:val="Mark2wordBody"/>
        <w:spacing w:line="269" w:lineRule="auto" w:before="40" w:after="0"/>
        <w:jc w:val="center"/>
      </w:pPr>
      <w:r>
        <w:rPr>
          <w:rFonts w:ascii="Aptos" w:hAnsi="Aptos"/>
          <w:color w:val="5B5B5B"/>
          <w:sz w:val="20"/>
        </w:rPr>
        <w:t>Themed Markdown → polished Word · docs/examples/showcase.md</w:t>
      </w:r>
    </w:p>
    <w:p>
      <w:bookmarkStart w:id="1" w:name="at-a-glance"/>
      <w:pPr>
        <w:pStyle w:val="Heading2"/>
        <w:pBdr>
          <w:bottom w:val="single" w:sz="6" w:space="2" w:color="2B579A"/>
        </w:pBdr>
        <w:spacing w:before="320" w:after="0"/>
      </w:pPr>
      <w:bookmarkEnd w:id="1"/>
      <w:r>
        <w:rPr>
          <w:rFonts w:ascii="Calibri" w:hAnsi="Calibri"/>
          <w:b/>
          <w:color w:val="2B579A"/>
          <w:sz w:val="32"/>
        </w:rPr>
        <w:t>At a Glance</w:t>
      </w:r>
    </w:p>
    <w:p>
      <w:pPr>
        <w:pStyle w:val="Mark2wordBody"/>
        <w:spacing w:line="269" w:lineRule="auto" w:before="120" w:after="0"/>
      </w:pPr>
      <w:r>
        <w:t>This document is a living catalog of what mark2word can render. Jump to any section:</w:t>
      </w:r>
    </w:p>
    <w:p>
      <w:pPr>
        <w:pStyle w:val="ListBullet"/>
        <w:numPr>
          <w:ilvl w:val="0"/>
          <w:numId w:val="10"/>
        </w:numPr>
        <w:spacing w:before="80" w:after="0"/>
      </w:pPr>
      <w:hyperlink w:anchor="inline-markup">
        <w:r>
          <w:rPr>
            <w:color w:val="1A1A1A"/>
            <w:u w:val="single"/>
          </w:rPr>
          <w:t xml:space="preserve">Inline markup</w:t>
        </w:r>
      </w:hyperlink>
      <w:r>
        <w:rPr>
          <w:rFonts w:ascii="Calibri" w:hAnsi="Calibri"/>
          <w:color w:val="1A1A1A"/>
          <w:sz w:val="22"/>
        </w:rPr>
        <w:t xml:space="preserve"> — emphasis, links, dual-align</w:t>
      </w:r>
    </w:p>
    <w:p>
      <w:pPr>
        <w:pStyle w:val="ListBullet"/>
        <w:numPr>
          <w:ilvl w:val="0"/>
          <w:numId w:val="10"/>
        </w:numPr>
        <w:spacing w:before="60" w:after="0"/>
      </w:pPr>
      <w:hyperlink w:anchor="lists">
        <w:r>
          <w:rPr>
            <w:color w:val="1A1A1A"/>
            <w:u w:val="single"/>
          </w:rPr>
          <w:t xml:space="preserve">Lists</w:t>
        </w:r>
      </w:hyperlink>
      <w:r>
        <w:rPr>
          <w:rFonts w:ascii="Calibri" w:hAnsi="Calibri"/>
          <w:color w:val="1A1A1A"/>
          <w:sz w:val="22"/>
        </w:rPr>
        <w:t xml:space="preserve"> — nested bullets and numbers</w:t>
      </w:r>
    </w:p>
    <w:p>
      <w:pPr>
        <w:pStyle w:val="ListBullet"/>
        <w:numPr>
          <w:ilvl w:val="0"/>
          <w:numId w:val="10"/>
        </w:numPr>
        <w:spacing w:before="60" w:after="0"/>
      </w:pPr>
      <w:hyperlink w:anchor="images-and-tables">
        <w:r>
          <w:rPr>
            <w:color w:val="1A1A1A"/>
            <w:u w:val="single"/>
          </w:rPr>
          <w:t xml:space="preserve">Images &amp; tables</w:t>
        </w:r>
      </w:hyperlink>
      <w:r>
        <w:rPr>
          <w:rFonts w:ascii="Calibri" w:hAnsi="Calibri"/>
          <w:color w:val="1A1A1A"/>
          <w:sz w:val="22"/>
        </w:rPr>
        <w:t xml:space="preserve"> — layout and cell styling</w:t>
      </w:r>
    </w:p>
    <w:p>
      <w:pPr>
        <w:pStyle w:val="ListBullet"/>
        <w:numPr>
          <w:ilvl w:val="0"/>
          <w:numId w:val="10"/>
        </w:numPr>
        <w:spacing w:before="60" w:after="0"/>
      </w:pPr>
      <w:hyperlink w:anchor="code-blocks">
        <w:r>
          <w:rPr>
            <w:color w:val="1A1A1A"/>
            <w:u w:val="single"/>
          </w:rPr>
          <w:t xml:space="preserve">Code</w:t>
        </w:r>
      </w:hyperlink>
      <w:r>
        <w:rPr>
          <w:rFonts w:ascii="Calibri" w:hAnsi="Calibri"/>
          <w:color w:val="1A1A1A"/>
          <w:sz w:val="22"/>
        </w:rPr>
        <w:t xml:space="preserve"> — fenced blocks with language themes</w:t>
      </w:r>
    </w:p>
    <w:p>
      <w:pPr>
        <w:pStyle w:val="ListBullet"/>
        <w:numPr>
          <w:ilvl w:val="0"/>
          <w:numId w:val="10"/>
        </w:numPr>
        <w:spacing w:before="60" w:after="0"/>
      </w:pPr>
      <w:hyperlink w:anchor="theme-regions">
        <w:r>
          <w:rPr>
            <w:color w:val="1A1A1A"/>
            <w:u w:val="single"/>
          </w:rPr>
          <w:t xml:space="preserve">Theme regions</w:t>
        </w:r>
      </w:hyperlink>
      <w:r>
        <w:rPr>
          <w:rFonts w:ascii="Calibri" w:hAnsi="Calibri"/>
          <w:color w:val="1A1A1A"/>
          <w:sz w:val="22"/>
        </w:rPr>
        <w:t xml:space="preserve"> — local overrides without touching body text</w:t>
      </w:r>
    </w:p>
    <w:p>
      <w:pPr>
        <w:pStyle w:val="Mark2wordBody"/>
        <w:spacing w:line="269" w:lineRule="auto" w:before="120" w:after="0"/>
      </w:pPr>
      <w:r>
        <w:t xml:space="preserve">The </w:t>
      </w:r>
      <w:r>
        <w:rPr>
          <w:rFonts w:ascii="Calibri" w:hAnsi="Calibri"/>
          <w:b/>
          <w:color w:val="1A1A1A"/>
          <w:sz w:val="22"/>
        </w:rPr>
        <w:t>page header and footer</w:t>
      </w:r>
      <w:r>
        <w:t xml:space="preserve"> on every sheet come from the theme (</w:t>
      </w:r>
      <w:r>
        <w:rPr>
          <w:shd w:val="clear" w:color="auto" w:fill="F5F5F5"/>
          <w:rFonts w:ascii="Consolas" w:hAnsi="Consolas"/>
          <w:color w:val="1F497D"/>
          <w:sz w:val="18"/>
        </w:rPr>
        <w:t>page.header</w:t>
      </w:r>
      <w:r>
        <w:t xml:space="preserve"> / </w:t>
      </w:r>
      <w:r>
        <w:rPr>
          <w:shd w:val="clear" w:color="auto" w:fill="F5F5F5"/>
          <w:rFonts w:ascii="Consolas" w:hAnsi="Consolas"/>
          <w:color w:val="1F497D"/>
          <w:sz w:val="18"/>
        </w:rPr>
        <w:t>page.footer</w:t>
      </w:r>
      <w:r>
        <w:t xml:space="preserve"> with </w:t>
      </w:r>
      <w:r>
        <w:rPr>
          <w:shd w:val="clear" w:color="auto" w:fill="F5F5F5"/>
          <w:rFonts w:ascii="Consolas" w:hAnsi="Consolas"/>
          <w:color w:val="1F497D"/>
          <w:sz w:val="18"/>
        </w:rPr>
        <w:t>{title}</w:t>
      </w:r>
      <w:r>
        <w:t xml:space="preserve">, </w:t>
      </w:r>
      <w:r>
        <w:rPr>
          <w:shd w:val="clear" w:color="auto" w:fill="F5F5F5"/>
          <w:rFonts w:ascii="Consolas" w:hAnsi="Consolas"/>
          <w:color w:val="1F497D"/>
          <w:sz w:val="18"/>
        </w:rPr>
        <w:t>{page}</w:t>
      </w:r>
      <w:r>
        <w:t xml:space="preserve">, and </w:t>
      </w:r>
      <w:r>
        <w:rPr>
          <w:shd w:val="clear" w:color="auto" w:fill="F5F5F5"/>
          <w:rFonts w:ascii="Consolas" w:hAnsi="Consolas"/>
          <w:color w:val="1F497D"/>
          <w:sz w:val="18"/>
        </w:rPr>
        <w:t>{pages}</w:t>
      </w:r>
      <w:r>
        <w:t xml:space="preserve">). The centered line at the very end of this file is a </w:t>
      </w:r>
      <w:r>
        <w:rPr>
          <w:rFonts w:ascii="Calibri" w:hAnsi="Calibri"/>
          <w:b/>
          <w:color w:val="1A1A1A"/>
          <w:sz w:val="22"/>
        </w:rPr>
        <w:t>body footer region</w:t>
      </w:r>
      <w:r>
        <w:t xml:space="preserve"> — content you control in Markdown, not Word page chrome.</w:t>
      </w:r>
    </w:p>
    <w:p>
      <w:bookmarkStart w:id="2" w:name="document-purpose"/>
      <w:pPr>
        <w:pStyle w:val="Heading2"/>
        <w:pBdr>
          <w:bottom w:val="single" w:sz="6" w:space="2" w:color="2B579A"/>
        </w:pBdr>
        <w:spacing w:before="320" w:after="0"/>
      </w:pPr>
      <w:bookmarkEnd w:id="2"/>
      <w:r>
        <w:rPr>
          <w:rFonts w:ascii="Calibri" w:hAnsi="Calibri"/>
          <w:b/>
          <w:color w:val="2B579A"/>
          <w:sz w:val="32"/>
        </w:rPr>
        <w:t>Document Purpose</w:t>
      </w:r>
    </w:p>
    <w:p>
      <w:pPr>
        <w:pStyle w:val="Mark2wordBody"/>
        <w:spacing w:line="269" w:lineRule="auto" w:before="120" w:after="120"/>
      </w:pPr>
      <w:r>
        <w:t xml:space="preserve">mark2word separates </w:t>
      </w:r>
      <w:r>
        <w:rPr>
          <w:rFonts w:ascii="Calibri" w:hAnsi="Calibri"/>
          <w:i/>
          <w:color w:val="1A1A1A"/>
          <w:sz w:val="22"/>
        </w:rPr>
        <w:t>what you write</w:t>
      </w:r>
      <w:r>
        <w:t xml:space="preserve"> from </w:t>
      </w:r>
      <w:r>
        <w:rPr>
          <w:rFonts w:ascii="Calibri" w:hAnsi="Calibri"/>
          <w:i/>
          <w:color w:val="1A1A1A"/>
          <w:sz w:val="22"/>
        </w:rPr>
        <w:t>how it looks</w:t>
      </w:r>
      <w:r>
        <w:t>. YAML frontmatter, external themes, and invisible HTML comments carry styling; the Markdown body stays readable in GitHub, Obsidian, or any previewer.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Ind w:w="204" w:type="dxa"/>
        <w:tblW w:w="10308" w:type="dxa"/>
      </w:tblPr>
      <w:tblGrid>
        <w:gridCol w:w="10368"/>
      </w:tblGrid>
      <w:tr>
        <w:tc>
          <w:tcPr>
            <w:tcW w:type="dxa" w:w="10368"/>
            <w:shd w:val="clear" w:color="auto" w:fill="F0F0F0"/>
            <w:tcBorders>
              <w:top w:val="nil"/>
              <w:left w:val="single" w:sz="24" w:color="D6D6D6" w:space="0"/>
              <w:bottom w:val="nil"/>
              <w:right w:val="nil"/>
            </w:tcBorders>
            <w:tcMar>
              <w:top w:w="0" w:type="dxa"/>
              <w:bottom w:w="0" w:type="dxa"/>
              <w:left w:w="144" w:type="dxa"/>
              <w:right w:w="144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/>
                <w:color w:val="404040"/>
                <w:sz w:val="22"/>
              </w:rPr>
              <w:t>Why it matters.</w:t>
            </w:r>
            <w:r>
              <w:t xml:space="preserve"> Authors draft in plain Markdown. Designers tune one theme file. Agents can regenerate content without rebuilding Word XML by hand — and the same skeleton can become a memo, a proposal, or a report by swapping YAML.</w:t>
            </w:r>
          </w:p>
        </w:tc>
      </w:tr>
    </w:tbl>
    <w:p>
      <w:pPr>
        <w:pStyle w:val="Mark2wordBody"/>
        <w:spacing w:line="269" w:lineRule="auto" w:before="120" w:after="0"/>
      </w:pPr>
      <w:r>
        <w:t xml:space="preserve">For </w:t>
      </w:r>
      <w:r>
        <w:rPr>
          <w:rFonts w:ascii="Calibri" w:hAnsi="Calibri"/>
          <w:b/>
          <w:color w:val="1A1A1A"/>
          <w:sz w:val="22"/>
        </w:rPr>
        <w:t>human workflows</w:t>
      </w:r>
      <w:r>
        <w:t xml:space="preserve">, that means polish without fighting the Word ribbon. For </w:t>
      </w:r>
      <w:r>
        <w:rPr>
          <w:rFonts w:ascii="Calibri" w:hAnsi="Calibri"/>
          <w:b/>
          <w:color w:val="1A1A1A"/>
          <w:sz w:val="22"/>
        </w:rPr>
        <w:t>agent workflows</w:t>
      </w:r>
      <w:r>
        <w:t xml:space="preserve">, it means structured output that compiles to a client-ready </w:t>
      </w:r>
      <w:r>
        <w:rPr>
          <w:shd w:val="clear" w:color="auto" w:fill="F5F5F5"/>
          <w:rFonts w:ascii="Consolas" w:hAnsi="Consolas"/>
          <w:color w:val="1F497D"/>
          <w:sz w:val="18"/>
        </w:rPr>
        <w:t>.docx</w:t>
      </w:r>
      <w:r>
        <w:t>.</w:t>
      </w:r>
    </w:p>
    <w:p>
      <w:pPr>
        <w:pStyle w:val="Mark2wordBody"/>
        <w:spacing w:line="269" w:lineRule="auto" w:before="280" w:after="0"/>
        <w:pBdr>
          <w:bottom w:val="single" w:sz="6" w:space="2" w:color="2B579A"/>
        </w:pBdr>
      </w:pPr>
    </w:p>
    <w:p>
      <w:bookmarkStart w:id="3" w:name="heading-level-three"/>
      <w:pPr>
        <w:pStyle w:val="Heading3"/>
        <w:spacing w:before="280" w:after="0"/>
      </w:pPr>
      <w:bookmarkEnd w:id="3"/>
      <w:r>
        <w:rPr>
          <w:rFonts w:ascii="Calibri" w:hAnsi="Calibri"/>
          <w:b/>
          <w:i/>
          <w:color w:val="2B579A"/>
          <w:sz w:val="26"/>
        </w:rPr>
        <w:t>Heading Level Three</w:t>
      </w:r>
    </w:p>
    <w:p>
      <w:bookmarkStart w:id="4" w:name="heading-level-four"/>
      <w:pPr>
        <w:pStyle w:val="Heading4"/>
        <w:spacing w:before="0" w:after="0"/>
      </w:pPr>
      <w:bookmarkEnd w:id="4"/>
      <w:r>
        <w:rPr>
          <w:rFonts w:ascii="Calibri" w:hAnsi="Calibri"/>
          <w:b/>
          <w:color w:val="2B579A"/>
          <w:sz w:val="24"/>
        </w:rPr>
        <w:t>Heading Level Four</w:t>
      </w:r>
    </w:p>
    <w:p>
      <w:bookmarkStart w:id="5" w:name="heading-level-five"/>
      <w:pPr>
        <w:pStyle w:val="Heading5"/>
        <w:spacing w:before="0" w:after="0"/>
      </w:pPr>
      <w:bookmarkEnd w:id="5"/>
      <w:r>
        <w:rPr>
          <w:rFonts w:ascii="Calibri" w:hAnsi="Calibri"/>
          <w:b/>
          <w:color w:val="404040"/>
          <w:sz w:val="22"/>
        </w:rPr>
        <w:t>Heading Level Five</w:t>
      </w:r>
    </w:p>
    <w:p>
      <w:bookmarkStart w:id="6" w:name="heading-level-six"/>
      <w:pPr>
        <w:pStyle w:val="Heading6"/>
        <w:spacing w:before="0" w:after="0"/>
      </w:pPr>
      <w:bookmarkEnd w:id="6"/>
      <w:r>
        <w:rPr>
          <w:rFonts w:ascii="Calibri" w:hAnsi="Calibri"/>
          <w:b/>
          <w:i/>
          <w:color w:val="666666"/>
          <w:sz w:val="20"/>
        </w:rPr>
        <w:t>Heading Level Six</w:t>
      </w:r>
    </w:p>
    <w:p>
      <w:bookmarkStart w:id="7" w:name="inline-markup"/>
      <w:pPr>
        <w:pStyle w:val="Heading2"/>
        <w:pBdr>
          <w:bottom w:val="single" w:sz="6" w:space="2" w:color="2B579A"/>
        </w:pBdr>
        <w:spacing w:before="320" w:after="0"/>
      </w:pPr>
      <w:bookmarkEnd w:id="7"/>
      <w:r>
        <w:rPr>
          <w:rFonts w:ascii="Calibri" w:hAnsi="Calibri"/>
          <w:b/>
          <w:color w:val="2B579A"/>
          <w:sz w:val="32"/>
        </w:rPr>
        <w:t>Inline Markup</w:t>
      </w:r>
    </w:p>
    <w:p>
      <w:pPr>
        <w:pStyle w:val="Mark2wordBody"/>
        <w:spacing w:line="269" w:lineRule="auto" w:before="120" w:after="0"/>
      </w:pPr>
      <w:r>
        <w:t xml:space="preserve">A body paragraph with </w:t>
      </w:r>
      <w:r>
        <w:rPr>
          <w:rFonts w:ascii="Calibri" w:hAnsi="Calibri"/>
          <w:b/>
          <w:color w:val="1A1A1A"/>
          <w:sz w:val="22"/>
        </w:rPr>
        <w:t>bold</w:t>
      </w:r>
      <w:r>
        <w:t xml:space="preserve">, </w:t>
      </w:r>
      <w:r>
        <w:rPr>
          <w:rFonts w:ascii="Calibri" w:hAnsi="Calibri"/>
          <w:i/>
          <w:color w:val="1A1A1A"/>
          <w:sz w:val="22"/>
        </w:rPr>
        <w:t>italic</w:t>
      </w:r>
      <w:r>
        <w:t xml:space="preserve">, </w:t>
      </w:r>
      <w:r>
        <w:rPr>
          <w:rFonts w:ascii="Calibri" w:hAnsi="Calibri"/>
          <w:b/>
          <w:i/>
          <w:color w:val="1A1A1A"/>
          <w:sz w:val="22"/>
        </w:rPr>
        <w:t>bold italic</w:t>
      </w:r>
      <w:r>
        <w:t xml:space="preserve">, </w:t>
      </w:r>
      <w:r>
        <w:rPr>
          <w:rFonts w:ascii="Calibri" w:hAnsi="Calibri"/>
          <w:i/>
          <w:color w:val="1A1A1A"/>
          <w:sz w:val="22"/>
        </w:rPr>
        <w:t>underscore italic</w:t>
      </w:r>
      <w:r>
        <w:t xml:space="preserve">, </w:t>
      </w:r>
      <w:r>
        <w:rPr>
          <w:rFonts w:ascii="Calibri" w:hAnsi="Calibri"/>
          <w:b/>
          <w:color w:val="1A1A1A"/>
          <w:sz w:val="22"/>
        </w:rPr>
        <w:t>underscore bold</w:t>
      </w:r>
      <w:r>
        <w:t xml:space="preserve">, and </w:t>
      </w:r>
      <w:r>
        <w:rPr>
          <w:shd w:val="clear" w:color="auto" w:fill="F5F5F5"/>
          <w:rFonts w:ascii="Consolas" w:hAnsi="Consolas"/>
          <w:color w:val="1F497D"/>
          <w:sz w:val="18"/>
        </w:rPr>
        <w:t>inline code</w:t>
      </w:r>
      <w:r>
        <w:t xml:space="preserve">. External links work: </w:t>
      </w:r>
      <w:hyperlink r:id="rId11">
        <w:r>
          <w:rPr>
            <w:color w:val="1A1A1A"/>
            <w:u w:val="single"/>
            <w:b/>
          </w:rPr>
          <w:t xml:space="preserve">mark2word on GitHub</w:t>
        </w:r>
      </w:hyperlink>
      <w:r>
        <w:t xml:space="preserve">. Internal links jump to bookmarks on headings — try </w:t>
      </w:r>
      <w:hyperlink w:anchor="lists">
        <w:r>
          <w:rPr>
            <w:color w:val="1A1A1A"/>
            <w:u w:val="single"/>
          </w:rPr>
          <w:t xml:space="preserve">the lists section</w:t>
        </w:r>
      </w:hyperlink>
      <w:r>
        <w:t xml:space="preserve"> or </w:t>
      </w:r>
      <w:hyperlink w:anchor="code-blocks">
        <w:r>
          <w:rPr>
            <w:color w:val="1A1A1A"/>
            <w:u w:val="single"/>
          </w:rPr>
          <w:t xml:space="preserve">code blocks</w:t>
        </w:r>
      </w:hyperlink>
      <w:r>
        <w:t>.</w:t>
      </w:r>
    </w:p>
    <w:p>
      <w:pPr>
        <w:pStyle w:val="Mark2wordBody"/>
        <w:spacing w:line="269" w:lineRule="auto" w:before="80" w:after="0"/>
      </w:pPr>
      <w:r>
        <w:t xml:space="preserve">Dual-aligned lines split on </w:t>
      </w:r>
      <w:r>
        <w:rPr>
          <w:shd w:val="clear" w:color="auto" w:fill="F5F5F5"/>
          <w:rFonts w:ascii="Consolas" w:hAnsi="Consolas"/>
          <w:color w:val="1F497D"/>
          <w:sz w:val="18"/>
        </w:rPr>
        <w:t>||</w:t>
      </w:r>
      <w:r>
        <w:t xml:space="preserve"> (ignored inside backticks):</w:t>
      </w:r>
    </w:p>
    <w:p>
      <w:pPr>
        <w:pStyle w:val="Mark2wordBody"/>
        <w:spacing w:line="269" w:lineRule="auto" w:before="80" w:after="0"/>
        <w:jc w:val="left"/>
        <w:tabs>
          <w:tab w:val="right" w:leader="none" w:pos="10368"/>
        </w:tabs>
      </w:pPr>
      <w:r>
        <w:t>Left-aligned label</w:t>
      </w:r>
      <w:r>
        <w:tab/>
      </w:r>
      <w:r>
        <w:t>Right-aligned value</w:t>
      </w:r>
    </w:p>
    <w:p>
      <w:pPr>
        <w:pStyle w:val="Mark2wordBody"/>
        <w:spacing w:line="269" w:lineRule="auto" w:before="200" w:after="0"/>
        <w:ind w:left="560" w:right="560"/>
        <w:jc w:val="center"/>
      </w:pPr>
      <w:r>
        <w:rPr>
          <w:rFonts w:ascii="Georgia" w:hAnsi="Georgia"/>
          <w:i/>
          <w:color w:val="943634"/>
          <w:sz w:val="26"/>
        </w:rPr>
        <w:t>The same Markdown skeleton can look like a memo, a proposal, or a résumé — swap the theme, keep the words.</w:t>
      </w:r>
    </w:p>
    <w:p>
      <w:bookmarkStart w:id="8" w:name="lists"/>
      <w:pPr>
        <w:pStyle w:val="Heading2"/>
        <w:pBdr>
          <w:bottom w:val="single" w:sz="6" w:space="2" w:color="2B579A"/>
        </w:pBdr>
        <w:spacing w:before="320" w:after="0"/>
      </w:pPr>
      <w:bookmarkEnd w:id="8"/>
      <w:r>
        <w:rPr>
          <w:rFonts w:ascii="Calibri" w:hAnsi="Calibri"/>
          <w:b/>
          <w:color w:val="2B579A"/>
          <w:sz w:val="32"/>
        </w:rPr>
        <w:t>Lists</w:t>
      </w:r>
    </w:p>
    <w:p>
      <w:pPr>
        <w:pStyle w:val="Mark2wordBody"/>
        <w:spacing w:line="269" w:lineRule="auto" w:before="120" w:after="0"/>
      </w:pPr>
      <w:r>
        <w:rPr>
          <w:rFonts w:ascii="Calibri" w:hAnsi="Calibri"/>
          <w:b/>
          <w:color w:val="1A1A1A"/>
          <w:sz w:val="22"/>
        </w:rPr>
        <w:t>Unordered lists</w:t>
      </w:r>
      <w:r>
        <w:t xml:space="preserve"> use theme </w:t>
      </w:r>
      <w:r>
        <w:rPr>
          <w:shd w:val="clear" w:color="auto" w:fill="F5F5F5"/>
          <w:rFonts w:ascii="Consolas" w:hAnsi="Consolas"/>
          <w:color w:val="1F497D"/>
          <w:sz w:val="18"/>
        </w:rPr>
        <w:t>ul</w:t>
      </w:r>
      <w:r>
        <w:t xml:space="preserve"> levels (</w:t>
      </w:r>
      <w:r>
        <w:rPr>
          <w:shd w:val="clear" w:color="auto" w:fill="F5F5F5"/>
          <w:rFonts w:ascii="Consolas" w:hAnsi="Consolas"/>
          <w:color w:val="1F497D"/>
          <w:sz w:val="18"/>
        </w:rPr>
        <w:t>*</w:t>
      </w:r>
      <w:r>
        <w:t xml:space="preserve">, </w:t>
      </w:r>
      <w:r>
        <w:rPr>
          <w:shd w:val="clear" w:color="auto" w:fill="F5F5F5"/>
          <w:rFonts w:ascii="Consolas" w:hAnsi="Consolas"/>
          <w:color w:val="1F497D"/>
          <w:sz w:val="18"/>
        </w:rPr>
        <w:t>o</w:t>
      </w:r>
      <w:r>
        <w:t xml:space="preserve">, </w:t>
      </w:r>
      <w:r>
        <w:rPr>
          <w:shd w:val="clear" w:color="auto" w:fill="F5F5F5"/>
          <w:rFonts w:ascii="Consolas" w:hAnsi="Consolas"/>
          <w:color w:val="1F497D"/>
          <w:sz w:val="18"/>
        </w:rPr>
        <w:t>-</w:t>
      </w:r>
      <w:r>
        <w:t xml:space="preserve"> at depth):</w:t>
      </w:r>
    </w:p>
    <w:p>
      <w:pPr>
        <w:pStyle w:val="ListBullet"/>
        <w:numPr>
          <w:ilvl w:val="0"/>
          <w:numId w:val="11"/>
        </w:numPr>
        <w:spacing w:before="80" w:after="0"/>
      </w:pPr>
      <w:r>
        <w:rPr>
          <w:rFonts w:ascii="Calibri" w:hAnsi="Calibri"/>
          <w:color w:val="1A1A1A"/>
          <w:sz w:val="22"/>
        </w:rPr>
        <w:t>Top-level bullet</w:t>
      </w:r>
    </w:p>
    <w:p>
      <w:pPr>
        <w:pStyle w:val="ListBullet"/>
        <w:numPr>
          <w:ilvl w:val="0"/>
          <w:numId w:val="11"/>
        </w:numPr>
        <w:spacing w:before="60" w:after="0"/>
      </w:pPr>
      <w:r>
        <w:rPr>
          <w:rFonts w:ascii="Calibri" w:hAnsi="Calibri"/>
          <w:color w:val="1A1A1A"/>
          <w:sz w:val="22"/>
        </w:rPr>
        <w:t>second item</w:t>
      </w:r>
    </w:p>
    <w:p>
      <w:pPr>
        <w:pStyle w:val="ListBullet"/>
        <w:numPr>
          <w:ilvl w:val="1"/>
          <w:numId w:val="11"/>
        </w:numPr>
        <w:spacing w:before="60" w:after="0"/>
      </w:pPr>
      <w:r>
        <w:rPr>
          <w:rFonts w:ascii="Calibri" w:hAnsi="Calibri"/>
          <w:color w:val="1A1A1A"/>
          <w:sz w:val="22"/>
        </w:rPr>
        <w:t>nested level one</w:t>
      </w:r>
    </w:p>
    <w:p>
      <w:pPr>
        <w:pStyle w:val="ListBullet"/>
        <w:numPr>
          <w:ilvl w:val="2"/>
          <w:numId w:val="11"/>
        </w:numPr>
        <w:spacing w:before="60" w:after="0"/>
      </w:pPr>
      <w:r>
        <w:rPr>
          <w:rFonts w:ascii="Calibri" w:hAnsi="Calibri"/>
          <w:color w:val="1A1A1A"/>
          <w:sz w:val="22"/>
        </w:rPr>
        <w:t>nested level two</w:t>
      </w:r>
    </w:p>
    <w:p>
      <w:pPr>
        <w:pStyle w:val="ListBullet"/>
        <w:numPr>
          <w:ilvl w:val="0"/>
          <w:numId w:val="11"/>
        </w:numPr>
        <w:spacing w:before="60" w:after="0"/>
      </w:pPr>
      <w:r>
        <w:rPr>
          <w:rFonts w:ascii="Calibri" w:hAnsi="Calibri"/>
          <w:color w:val="1A1A1A"/>
          <w:sz w:val="22"/>
        </w:rPr>
        <w:t>back to top level</w:t>
      </w:r>
    </w:p>
    <w:p>
      <w:pPr>
        <w:pStyle w:val="Mark2wordBody"/>
        <w:spacing w:line="269" w:lineRule="auto" w:before="120" w:after="0"/>
      </w:pPr>
      <w:r>
        <w:rPr>
          <w:rFonts w:ascii="Calibri" w:hAnsi="Calibri"/>
          <w:b/>
          <w:color w:val="1A1A1A"/>
          <w:sz w:val="22"/>
        </w:rPr>
        <w:t>Ordered lists</w:t>
      </w:r>
      <w:r>
        <w:t xml:space="preserve"> use </w:t>
      </w:r>
      <w:r>
        <w:rPr>
          <w:shd w:val="clear" w:color="auto" w:fill="F5F5F5"/>
          <w:rFonts w:ascii="Consolas" w:hAnsi="Consolas"/>
          <w:color w:val="1F497D"/>
          <w:sz w:val="18"/>
        </w:rPr>
        <w:t>ol</w:t>
      </w:r>
      <w:r>
        <w:t xml:space="preserve"> levels (</w:t>
      </w:r>
      <w:r>
        <w:rPr>
          <w:shd w:val="clear" w:color="auto" w:fill="F5F5F5"/>
          <w:rFonts w:ascii="Consolas" w:hAnsi="Consolas"/>
          <w:color w:val="1F497D"/>
          <w:sz w:val="18"/>
        </w:rPr>
        <w:t>1.</w:t>
      </w:r>
      <w:r>
        <w:t xml:space="preserve">, </w:t>
      </w:r>
      <w:r>
        <w:rPr>
          <w:shd w:val="clear" w:color="auto" w:fill="F5F5F5"/>
          <w:rFonts w:ascii="Consolas" w:hAnsi="Consolas"/>
          <w:color w:val="1F497D"/>
          <w:sz w:val="18"/>
        </w:rPr>
        <w:t>a.</w:t>
      </w:r>
      <w:r>
        <w:t xml:space="preserve">, </w:t>
      </w:r>
      <w:r>
        <w:rPr>
          <w:shd w:val="clear" w:color="auto" w:fill="F5F5F5"/>
          <w:rFonts w:ascii="Consolas" w:hAnsi="Consolas"/>
          <w:color w:val="1F497D"/>
          <w:sz w:val="18"/>
        </w:rPr>
        <w:t>i.</w:t>
      </w:r>
      <w:r>
        <w:t>):</w:t>
      </w:r>
    </w:p>
    <w:p>
      <w:pPr>
        <w:pStyle w:val="ListNumber"/>
        <w:numPr>
          <w:ilvl w:val="0"/>
          <w:numId w:val="12"/>
        </w:numPr>
        <w:spacing w:before="80" w:after="0"/>
      </w:pPr>
      <w:r>
        <w:rPr>
          <w:rFonts w:ascii="Calibri" w:hAnsi="Calibri"/>
          <w:color w:val="1A1A1A"/>
          <w:sz w:val="22"/>
        </w:rPr>
        <w:t>First top-level item</w:t>
      </w:r>
    </w:p>
    <w:p>
      <w:pPr>
        <w:pStyle w:val="ListNumber"/>
        <w:numPr>
          <w:ilvl w:val="0"/>
          <w:numId w:val="12"/>
        </w:numPr>
        <w:spacing w:before="60" w:after="0"/>
      </w:pPr>
      <w:r>
        <w:rPr>
          <w:rFonts w:ascii="Calibri" w:hAnsi="Calibri"/>
          <w:color w:val="1A1A1A"/>
          <w:sz w:val="22"/>
        </w:rPr>
        <w:t>Second item</w:t>
      </w:r>
    </w:p>
    <w:p>
      <w:pPr>
        <w:pStyle w:val="ListNumber"/>
        <w:numPr>
          <w:ilvl w:val="1"/>
          <w:numId w:val="12"/>
        </w:numPr>
        <w:spacing w:before="60" w:after="0"/>
      </w:pPr>
      <w:r>
        <w:rPr>
          <w:rFonts w:ascii="Calibri" w:hAnsi="Calibri"/>
          <w:color w:val="1A1A1A"/>
          <w:sz w:val="22"/>
        </w:rPr>
        <w:t>Nested ordered (letter format at depth 1 in theme)</w:t>
      </w:r>
    </w:p>
    <w:p>
      <w:pPr>
        <w:pStyle w:val="ListNumber"/>
        <w:numPr>
          <w:ilvl w:val="1"/>
          <w:numId w:val="12"/>
        </w:numPr>
        <w:spacing w:before="60" w:after="0"/>
      </w:pPr>
      <w:r>
        <w:rPr>
          <w:rFonts w:ascii="Calibri" w:hAnsi="Calibri"/>
          <w:color w:val="1A1A1A"/>
          <w:sz w:val="22"/>
        </w:rPr>
        <w:t>Another nested item</w:t>
      </w:r>
    </w:p>
    <w:p>
      <w:pPr>
        <w:pStyle w:val="ListNumber"/>
        <w:numPr>
          <w:ilvl w:val="0"/>
          <w:numId w:val="12"/>
        </w:numPr>
        <w:spacing w:before="60" w:after="0"/>
      </w:pPr>
      <w:r>
        <w:rPr>
          <w:rFonts w:ascii="Calibri" w:hAnsi="Calibri"/>
          <w:color w:val="1A1A1A"/>
          <w:sz w:val="22"/>
        </w:rPr>
        <w:t>Third top-level item</w:t>
      </w:r>
    </w:p>
    <w:p>
      <w:pPr>
        <w:pStyle w:val="Mark2wordBody"/>
        <w:spacing w:line="269" w:lineRule="auto" w:before="120" w:after="0"/>
      </w:pPr>
      <w:r>
        <w:t xml:space="preserve">A body paragraph between lists </w:t>
      </w:r>
      <w:r>
        <w:rPr>
          <w:rFonts w:ascii="Calibri" w:hAnsi="Calibri"/>
          <w:b/>
          <w:color w:val="1A1A1A"/>
          <w:sz w:val="22"/>
        </w:rPr>
        <w:t>restarts numbering</w:t>
      </w:r>
      <w:r>
        <w:t xml:space="preserve"> — useful when prose interrupts a sequence.</w:t>
      </w:r>
    </w:p>
    <w:p>
      <w:pPr>
        <w:pStyle w:val="ListNumber"/>
        <w:numPr>
          <w:ilvl w:val="0"/>
          <w:numId w:val="13"/>
        </w:numPr>
        <w:spacing w:before="80" w:after="0"/>
      </w:pPr>
      <w:r>
        <w:rPr>
          <w:rFonts w:ascii="Calibri" w:hAnsi="Calibri"/>
          <w:color w:val="1A1A1A"/>
          <w:sz w:val="22"/>
        </w:rPr>
        <w:t>This run starts at nine (markdown sets the seed value)</w:t>
      </w:r>
    </w:p>
    <w:p>
      <w:pPr>
        <w:pStyle w:val="ListNumber"/>
        <w:numPr>
          <w:ilvl w:val="0"/>
          <w:numId w:val="13"/>
        </w:numPr>
        <w:spacing w:before="60" w:after="0"/>
      </w:pPr>
      <w:r>
        <w:rPr>
          <w:rFonts w:ascii="Calibri" w:hAnsi="Calibri"/>
          <w:color w:val="1A1A1A"/>
          <w:sz w:val="22"/>
        </w:rPr>
        <w:t>and continues from there</w:t>
      </w:r>
    </w:p>
    <w:p>
      <w:bookmarkStart w:id="9" w:name="images-and-tables"/>
      <w:pPr>
        <w:pStyle w:val="Heading2"/>
        <w:pBdr>
          <w:bottom w:val="single" w:sz="6" w:space="2" w:color="2B579A"/>
        </w:pBdr>
        <w:spacing w:before="320" w:after="0"/>
      </w:pPr>
      <w:bookmarkEnd w:id="9"/>
      <w:r>
        <w:rPr>
          <w:rFonts w:ascii="Calibri" w:hAnsi="Calibri"/>
          <w:b/>
          <w:color w:val="2B579A"/>
          <w:sz w:val="32"/>
        </w:rPr>
        <w:t>Images and Tables</w:t>
      </w:r>
    </w:p>
    <w:p>
      <w:pPr>
        <w:pStyle w:val="Mark2wordBody"/>
        <w:spacing w:line="269" w:lineRule="auto" w:before="120" w:after="0"/>
      </w:pPr>
      <w:r>
        <w:t>Images resolve relative to this file. Alt text can feed Word accessibility and/or a caption (</w:t>
      </w:r>
      <w:r>
        <w:rPr>
          <w:shd w:val="clear" w:color="auto" w:fill="F5F5F5"/>
          <w:rFonts w:ascii="Consolas" w:hAnsi="Consolas"/>
          <w:color w:val="1F497D"/>
          <w:sz w:val="18"/>
        </w:rPr>
        <w:t>image.alt_mode</w:t>
      </w:r>
      <w:r>
        <w:t xml:space="preserve"> in theme):</w:t>
      </w:r>
    </w:p>
    <w:p>
      <w:pPr>
        <w:pStyle w:val="Mark2wordBody"/>
        <w:spacing w:line="269" w:lineRule="auto"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127000" cy="127000"/>
            <wp:docPr id="1" name="Picture 1" descr="Accent swatch used in headings and table headers" title="Accent swatch used in headings and table h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.png" descr="Accent swatch used in headings and table headers" title="Accent swatch used in headings and table header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val="clear" w:color="auto" w:fill="1F497D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80"/>
            </w:pPr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456"/>
            <w:shd w:val="clear" w:color="auto" w:fill="1F497D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Markdown</w:t>
            </w:r>
          </w:p>
        </w:tc>
        <w:tc>
          <w:tcPr>
            <w:tcW w:type="dxa" w:w="3456"/>
            <w:shd w:val="clear" w:color="auto" w:fill="1F497D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 keys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Page chrome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i/>
                <w:color w:val="1A1A1A"/>
                <w:sz w:val="18"/>
              </w:rPr>
              <w:t>(none — theme only)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page.header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page.footer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{title}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Headings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#</w:t>
            </w:r>
            <w:r>
              <w:rPr>
                <w:rFonts w:ascii="Calibri" w:hAnsi="Calibri"/>
                <w:color w:val="1A1A1A"/>
                <w:sz w:val="18"/>
              </w:rPr>
              <w:t xml:space="preserve"> … </w:t>
            </w:r>
            <w:r>
              <w:rPr>
                <w:rFonts w:ascii="Calibri" w:hAnsi="Calibri"/>
                <w:color w:val="1A1A1A"/>
                <w:sz w:val="18"/>
              </w:rPr>
              <w:t>######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heading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h1</w:t>
            </w:r>
            <w:r>
              <w:rPr>
                <w:rFonts w:ascii="Calibri" w:hAnsi="Calibri"/>
                <w:color w:val="1A1A1A"/>
                <w:sz w:val="18"/>
              </w:rPr>
              <w:t>–</w:t>
            </w:r>
            <w:r>
              <w:rPr>
                <w:rFonts w:ascii="Calibri" w:hAnsi="Calibri"/>
                <w:color w:val="1A1A1A"/>
                <w:sz w:val="18"/>
              </w:rPr>
              <w:t>h6</w:t>
            </w:r>
            <w:r>
              <w:rPr>
                <w:rFonts w:ascii="Calibri" w:hAnsi="Calibri"/>
                <w:color w:val="1A1A1A"/>
                <w:sz w:val="18"/>
              </w:rPr>
              <w:t xml:space="preserve">, bookmarks for </w:t>
            </w:r>
            <w:r>
              <w:rPr>
                <w:rFonts w:ascii="Calibri" w:hAnsi="Calibri"/>
                <w:color w:val="1A1A1A"/>
                <w:sz w:val="18"/>
              </w:rPr>
              <w:t>#links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Blockquote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&gt; quote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blockquote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indent_left</w:t>
            </w:r>
            <w:r>
              <w:rPr>
                <w:rFonts w:ascii="Calibri" w:hAnsi="Calibri"/>
                <w:color w:val="1A1A1A"/>
                <w:sz w:val="18"/>
              </w:rPr>
              <w:t xml:space="preserve"> / </w:t>
            </w:r>
            <w:r>
              <w:rPr>
                <w:rFonts w:ascii="Calibri" w:hAnsi="Calibri"/>
                <w:color w:val="1A1A1A"/>
                <w:sz w:val="18"/>
              </w:rPr>
              <w:t>indent_right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Horizontal rule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---</w:t>
            </w:r>
            <w:r>
              <w:rPr>
                <w:rFonts w:ascii="Calibri" w:hAnsi="Calibri"/>
                <w:color w:val="1A1A1A"/>
                <w:sz w:val="18"/>
              </w:rPr>
              <w:t xml:space="preserve"> on its own line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hr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border_bottom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Page break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&lt;!-- pagebreak --&gt;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i/>
                <w:color w:val="1A1A1A"/>
                <w:sz w:val="18"/>
              </w:rPr>
              <w:t>(invisible in MD preview)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Lists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-</w:t>
            </w:r>
            <w:r>
              <w:rPr>
                <w:rFonts w:ascii="Calibri" w:hAnsi="Calibri"/>
                <w:color w:val="1A1A1A"/>
                <w:sz w:val="18"/>
              </w:rPr>
              <w:t xml:space="preserve"> / </w:t>
            </w:r>
            <w:r>
              <w:rPr>
                <w:rFonts w:ascii="Calibri" w:hAnsi="Calibri"/>
                <w:color w:val="1A1A1A"/>
                <w:sz w:val="18"/>
              </w:rPr>
              <w:t>1.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list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ol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ul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levels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Regions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&lt;!-- region: name --&gt;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$name</w:t>
            </w:r>
            <w:r>
              <w:rPr>
                <w:rFonts w:ascii="Calibri" w:hAnsi="Calibri"/>
                <w:color w:val="1A1A1A"/>
                <w:sz w:val="18"/>
              </w:rPr>
              <w:t xml:space="preserve"> nested blocks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Tables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pipe syntax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table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th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td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border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padding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Code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fenced blocks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code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code.langs.{lang}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Images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A1A1A"/>
                <w:sz w:val="18"/>
              </w:rPr>
              <w:t>![alt](path)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8"/>
              </w:rPr>
              <w:t>image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width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max_width</w:t>
            </w:r>
            <w:r>
              <w:rPr>
                <w:rFonts w:ascii="Calibri" w:hAnsi="Calibri"/>
                <w:color w:val="1A1A1A"/>
                <w:sz w:val="18"/>
              </w:rPr>
              <w:t xml:space="preserve">, </w:t>
            </w:r>
            <w:r>
              <w:rPr>
                <w:rFonts w:ascii="Calibri" w:hAnsi="Calibri"/>
                <w:color w:val="1A1A1A"/>
                <w:sz w:val="18"/>
              </w:rPr>
              <w:t>alt_mode</w:t>
            </w:r>
          </w:p>
        </w:tc>
      </w:tr>
    </w:tbl>
    <w:p>
      <w:bookmarkStart w:id="10" w:name="code-blocks"/>
      <w:pPr>
        <w:pStyle w:val="Heading2"/>
        <w:pBdr>
          <w:bottom w:val="single" w:sz="6" w:space="2" w:color="2B579A"/>
        </w:pBdr>
        <w:spacing w:before="320" w:after="0"/>
      </w:pPr>
      <w:bookmarkEnd w:id="10"/>
      <w:r>
        <w:rPr>
          <w:rFonts w:ascii="Calibri" w:hAnsi="Calibri"/>
          <w:b/>
          <w:color w:val="2B579A"/>
          <w:sz w:val="32"/>
        </w:rPr>
        <w:t>Code Blocks</w:t>
      </w:r>
    </w:p>
    <w:p>
      <w:pPr>
        <w:pStyle w:val="Mark2wordBody"/>
        <w:spacing w:line="269" w:lineRule="auto" w:before="120" w:after="0"/>
      </w:pPr>
      <w:r>
        <w:t xml:space="preserve">Language tags select optional overrides under </w:t>
      </w:r>
      <w:r>
        <w:rPr>
          <w:shd w:val="clear" w:color="auto" w:fill="F5F5F5"/>
          <w:rFonts w:ascii="Consolas" w:hAnsi="Consolas"/>
          <w:color w:val="1F497D"/>
          <w:sz w:val="18"/>
        </w:rPr>
        <w:t>code.langs</w:t>
      </w:r>
      <w:r>
        <w:t xml:space="preserve"> in the theme. Pipes inside fences are </w:t>
      </w:r>
      <w:r>
        <w:rPr>
          <w:rFonts w:ascii="Calibri" w:hAnsi="Calibri"/>
          <w:b/>
          <w:color w:val="1A1A1A"/>
          <w:sz w:val="22"/>
        </w:rPr>
        <w:t>not</w:t>
      </w:r>
      <w:r>
        <w:t xml:space="preserve"> dual-align markers:</w:t>
      </w:r>
    </w:p>
    <w:p>
      <w:pPr>
        <w:shd w:val="clear" w:color="auto" w:fill="F5F5F5"/>
        <w:pStyle w:val="Mark2wordCodeBlock"/>
        <w:spacing w:before="80" w:after="0"/>
      </w:pPr>
      <w:r>
        <w:rPr>
          <w:rFonts w:ascii="Consolas" w:hAnsi="Consolas"/>
          <w:color w:val="000080"/>
          <w:sz w:val="18"/>
        </w:rPr>
        <w:t># showcase-theme.yaml → code.langs.python</w:t>
      </w:r>
    </w:p>
    <w:p>
      <w:pPr>
        <w:shd w:val="clear" w:color="auto" w:fill="F5F5F5"/>
        <w:pStyle w:val="Mark2wordCodeBlock"/>
        <w:spacing w:before="0" w:after="0"/>
      </w:pPr>
      <w:r>
        <w:rPr>
          <w:rFonts w:ascii="Consolas" w:hAnsi="Consolas"/>
          <w:color w:val="000080"/>
          <w:sz w:val="18"/>
        </w:rPr>
        <w:t>def convert(md_path: Path) -&gt; Path:</w:t>
      </w:r>
    </w:p>
    <w:p>
      <w:pPr>
        <w:shd w:val="clear" w:color="auto" w:fill="F5F5F5"/>
        <w:pStyle w:val="Mark2wordCodeBlock"/>
        <w:spacing w:before="0" w:after="0"/>
      </w:pPr>
      <w:r>
        <w:rPr>
          <w:rFonts w:ascii="Consolas" w:hAnsi="Consolas"/>
          <w:color w:val="000080"/>
          <w:sz w:val="18"/>
        </w:rPr>
        <w:t xml:space="preserve">    return md_path.with_suffix(".docx")</w:t>
      </w:r>
    </w:p>
    <w:p>
      <w:pPr>
        <w:shd w:val="clear" w:color="auto" w:fill="F5F5F5"/>
        <w:pStyle w:val="Mark2wordCodeBlock"/>
        <w:spacing w:before="0" w:after="0"/>
      </w:pPr>
      <w:r>
        <w:rPr>
          <w:rFonts w:ascii="Consolas" w:hAnsi="Consolas"/>
          <w:color w:val="006666"/>
          <w:sz w:val="18"/>
        </w:rPr>
        <w:t># Chained extends in showcase.md → showcase-theme.yaml → showcase-base.yaml</w:t>
      </w:r>
    </w:p>
    <w:p>
      <w:pPr>
        <w:shd w:val="clear" w:color="auto" w:fill="F5F5F5"/>
        <w:pStyle w:val="Mark2wordCodeBlock"/>
        <w:spacing w:before="0" w:after="0"/>
      </w:pPr>
      <w:r>
        <w:rPr>
          <w:rFonts w:ascii="Consolas" w:hAnsi="Consolas"/>
          <w:color w:val="006666"/>
          <w:sz w:val="18"/>
        </w:rPr>
        <w:t>page:</w:t>
      </w:r>
    </w:p>
    <w:p>
      <w:pPr>
        <w:shd w:val="clear" w:color="auto" w:fill="F5F5F5"/>
        <w:pStyle w:val="Mark2wordCodeBlock"/>
        <w:spacing w:before="0" w:after="0"/>
      </w:pPr>
      <w:r>
        <w:rPr>
          <w:rFonts w:ascii="Consolas" w:hAnsi="Consolas"/>
          <w:color w:val="006666"/>
          <w:sz w:val="18"/>
        </w:rPr>
        <w:t xml:space="preserve">  footer: "Style Gallery || Page {page} of {pages}"</w:t>
      </w:r>
    </w:p>
    <w:p>
      <w:pPr>
        <w:shd w:val="clear" w:color="auto" w:fill="F5F5F5"/>
        <w:pStyle w:val="Mark2wordCodeBlock"/>
        <w:spacing w:before="0" w:after="0"/>
      </w:pPr>
      <w:r>
        <w:rPr>
          <w:rFonts w:ascii="Consolas" w:hAnsi="Consolas"/>
          <w:color w:val="006666"/>
          <w:sz w:val="18"/>
        </w:rPr>
        <w:t>code:</w:t>
      </w:r>
    </w:p>
    <w:p>
      <w:pPr>
        <w:shd w:val="clear" w:color="auto" w:fill="F5F5F5"/>
        <w:pStyle w:val="Mark2wordCodeBlock"/>
        <w:spacing w:before="0" w:after="0"/>
      </w:pPr>
      <w:r>
        <w:rPr>
          <w:rFonts w:ascii="Consolas" w:hAnsi="Consolas"/>
          <w:color w:val="006666"/>
          <w:sz w:val="18"/>
        </w:rPr>
        <w:t xml:space="preserve">  langs:</w:t>
      </w:r>
    </w:p>
    <w:p>
      <w:pPr>
        <w:shd w:val="clear" w:color="auto" w:fill="F5F5F5"/>
        <w:pStyle w:val="Mark2wordCodeBlock"/>
        <w:spacing w:before="0" w:after="0"/>
      </w:pPr>
      <w:r>
        <w:rPr>
          <w:rFonts w:ascii="Consolas" w:hAnsi="Consolas"/>
          <w:color w:val="006666"/>
          <w:sz w:val="18"/>
        </w:rPr>
        <w:t xml:space="preserve">    yaml: { color: "006666" }</w:t>
      </w:r>
    </w:p>
    <w:p>
      <w:pPr>
        <w:pStyle w:val="Mark2wordBody"/>
        <w:spacing w:line="269" w:lineRule="auto" w:before="0" w:after="0"/>
      </w:pPr>
      <w:r>
        <w:t xml:space="preserve">And there can </w:t>
      </w:r>
      <w:r>
        <w:rPr>
          <w:shd w:val="clear" w:color="auto" w:fill="F5F5F5"/>
          <w:rFonts w:ascii="Consolas" w:hAnsi="Consolas"/>
          <w:color w:val="1F497D"/>
          <w:sz w:val="18"/>
        </w:rPr>
        <w:t>be inline code sections</w:t>
      </w:r>
      <w:r>
        <w:t xml:space="preserve"> too, and page-breaks like this:</w:t>
      </w:r>
    </w:p>
    <w:p>
      <w:pPr>
        <w:spacing w:before="80" w:after="0"/>
      </w:pPr>
      <w:r>
        <w:br w:type="page"/>
      </w:r>
    </w:p>
    <w:p>
      <w:bookmarkStart w:id="11" w:name="theme-regions"/>
      <w:pPr>
        <w:pStyle w:val="Heading2"/>
        <w:pBdr>
          <w:bottom w:val="single" w:sz="6" w:space="2" w:color="2B579A"/>
        </w:pBdr>
        <w:spacing w:before="320" w:after="0"/>
      </w:pPr>
      <w:bookmarkEnd w:id="11"/>
      <w:r>
        <w:rPr>
          <w:rFonts w:ascii="Calibri" w:hAnsi="Calibri"/>
          <w:b/>
          <w:color w:val="2B579A"/>
          <w:sz w:val="32"/>
        </w:rPr>
        <w:t>Theme Regions</w:t>
      </w:r>
    </w:p>
    <w:p>
      <w:pPr>
        <w:pStyle w:val="Mark2wordBody"/>
        <w:spacing w:line="269" w:lineRule="auto" w:before="120" w:after="0"/>
      </w:pPr>
      <w:r>
        <w:t xml:space="preserve">Regions wrap stretches of Markdown and apply </w:t>
      </w:r>
      <w:r>
        <w:rPr>
          <w:shd w:val="clear" w:color="auto" w:fill="F5F5F5"/>
          <w:rFonts w:ascii="Consolas" w:hAnsi="Consolas"/>
          <w:color w:val="1F497D"/>
          <w:sz w:val="18"/>
        </w:rPr>
        <w:t>$region-name</w:t>
      </w:r>
      <w:r>
        <w:t xml:space="preserve"> style blocks from the theme or frontmatter. They nest and override globals without inline formatting.</w:t>
      </w:r>
    </w:p>
    <w:p>
      <w:pPr>
        <w:pStyle w:val="Mark2wordBody"/>
        <w:spacing w:line="260" w:lineRule="exact" w:before="80" w:after="0"/>
        <w:ind w:left="400"/>
      </w:pPr>
      <w:r>
        <w:rPr>
          <w:rFonts w:ascii="Calibri" w:hAnsi="Calibri"/>
          <w:b/>
          <w:color w:val="1F4E79"/>
          <w:sz w:val="18"/>
        </w:rPr>
        <w:t>Theme tips</w:t>
      </w:r>
    </w:p>
    <w:p>
      <w:pPr>
        <w:pStyle w:val="ListBullet"/>
        <w:numPr>
          <w:ilvl w:val="0"/>
          <w:numId w:val="14"/>
        </w:numPr>
        <w:spacing w:before="40" w:after="0"/>
      </w:pPr>
      <w:r>
        <w:rPr>
          <w:rFonts w:ascii="Calibri" w:hAnsi="Calibri"/>
          <w:color w:val="1F4E79"/>
          <w:sz w:val="22"/>
        </w:rPr>
        <w:t xml:space="preserve">Quote hex colors in YAML — </w:t>
      </w:r>
      <w:r>
        <w:rPr>
          <w:shd w:val="clear" w:color="auto" w:fill="F5F5F5"/>
          <w:rFonts w:ascii="Calibri" w:hAnsi="Calibri"/>
          <w:color w:val="1F4E79"/>
          <w:sz w:val="18"/>
        </w:rPr>
        <w:t>color: "5B5B5B"</w:t>
      </w:r>
    </w:p>
    <w:p>
      <w:pPr>
        <w:pStyle w:val="ListBullet"/>
        <w:numPr>
          <w:ilvl w:val="0"/>
          <w:numId w:val="14"/>
        </w:numPr>
        <w:spacing w:before="20" w:after="0"/>
      </w:pPr>
      <w:r>
        <w:rPr>
          <w:rFonts w:ascii="Calibri" w:hAnsi="Calibri"/>
          <w:color w:val="1F4E79"/>
          <w:sz w:val="22"/>
        </w:rPr>
        <w:t xml:space="preserve">Use </w:t>
      </w:r>
      <w:r>
        <w:rPr>
          <w:shd w:val="clear" w:color="auto" w:fill="F5F5F5"/>
          <w:rFonts w:ascii="Calibri" w:hAnsi="Calibri"/>
          <w:color w:val="1F4E79"/>
          <w:sz w:val="18"/>
        </w:rPr>
        <w:t>text</w:t>
      </w:r>
      <w:r>
        <w:rPr>
          <w:rFonts w:ascii="Calibri" w:hAnsi="Calibri"/>
          <w:color w:val="1F4E79"/>
          <w:sz w:val="22"/>
        </w:rPr>
        <w:t xml:space="preserve"> for shared body/list defaults</w:t>
      </w:r>
    </w:p>
    <w:p>
      <w:pPr>
        <w:pStyle w:val="ListBullet"/>
        <w:numPr>
          <w:ilvl w:val="0"/>
          <w:numId w:val="14"/>
        </w:numPr>
        <w:spacing w:before="20" w:after="0"/>
      </w:pPr>
      <w:r>
        <w:rPr>
          <w:rFonts w:ascii="Calibri" w:hAnsi="Calibri"/>
          <w:color w:val="1F4E79"/>
          <w:sz w:val="22"/>
        </w:rPr>
        <w:t xml:space="preserve">Chain </w:t>
      </w:r>
      <w:r>
        <w:rPr>
          <w:shd w:val="clear" w:color="auto" w:fill="F5F5F5"/>
          <w:rFonts w:ascii="Calibri" w:hAnsi="Calibri"/>
          <w:color w:val="1F4E79"/>
          <w:sz w:val="18"/>
        </w:rPr>
        <w:t>extends</w:t>
      </w:r>
      <w:r>
        <w:rPr>
          <w:rFonts w:ascii="Calibri" w:hAnsi="Calibri"/>
          <w:color w:val="1F4E79"/>
          <w:sz w:val="22"/>
        </w:rPr>
        <w:t xml:space="preserve"> across theme files (see </w:t>
      </w:r>
      <w:r>
        <w:rPr>
          <w:shd w:val="clear" w:color="auto" w:fill="F5F5F5"/>
          <w:rFonts w:ascii="Calibri" w:hAnsi="Calibri"/>
          <w:color w:val="1F4E79"/>
          <w:sz w:val="18"/>
        </w:rPr>
        <w:t>showcase-base.yaml</w:t>
      </w:r>
      <w:r>
        <w:rPr>
          <w:rFonts w:ascii="Calibri" w:hAnsi="Calibri"/>
          <w:color w:val="1F4E79"/>
          <w:sz w:val="22"/>
        </w:rPr>
        <w:t>)</w:t>
      </w:r>
    </w:p>
    <w:p>
      <w:pPr>
        <w:pStyle w:val="ListBullet"/>
        <w:numPr>
          <w:ilvl w:val="0"/>
          <w:numId w:val="14"/>
        </w:numPr>
        <w:spacing w:before="20" w:after="0"/>
      </w:pPr>
      <w:r>
        <w:rPr>
          <w:rFonts w:ascii="Georgia" w:hAnsi="Georgia"/>
          <w:color w:val="008000"/>
          <w:sz w:val="22"/>
        </w:rPr>
        <w:t xml:space="preserve">Layer </w:t>
      </w:r>
      <w:r>
        <w:rPr>
          <w:shd w:val="clear" w:color="auto" w:fill="F5F5F5"/>
          <w:rFonts w:ascii="Georgia" w:hAnsi="Georgia"/>
          <w:color w:val="008000"/>
          <w:sz w:val="18"/>
        </w:rPr>
        <w:t>$regions</w:t>
      </w:r>
      <w:r>
        <w:rPr>
          <w:rFonts w:ascii="Georgia" w:hAnsi="Georgia"/>
          <w:color w:val="008000"/>
          <w:sz w:val="22"/>
        </w:rPr>
        <w:t xml:space="preserve"> for local personality</w:t>
      </w:r>
    </w:p>
    <w:p>
      <w:pPr>
        <w:pStyle w:val="ListBullet"/>
        <w:numPr>
          <w:ilvl w:val="0"/>
          <w:numId w:val="14"/>
        </w:numPr>
        <w:spacing w:before="20" w:after="0"/>
      </w:pPr>
      <w:r>
        <w:rPr>
          <w:rFonts w:ascii="Georgia" w:hAnsi="Georgia"/>
          <w:color w:val="008000"/>
          <w:sz w:val="22"/>
        </w:rPr>
        <w:t>Override one key without losing the rest of the cascade</w:t>
      </w:r>
    </w:p>
    <w:p>
      <w:pPr>
        <w:pStyle w:val="ListBullet"/>
        <w:numPr>
          <w:ilvl w:val="0"/>
          <w:numId w:val="14"/>
        </w:numPr>
        <w:spacing w:before="20" w:after="0"/>
      </w:pPr>
      <w:r>
        <w:rPr>
          <w:rFonts w:ascii="Georgia" w:hAnsi="Georgia"/>
          <w:color w:val="008000"/>
          <w:sz w:val="22"/>
        </w:rPr>
        <w:t xml:space="preserve">Validate with </w:t>
      </w:r>
      <w:r>
        <w:rPr>
          <w:shd w:val="clear" w:color="auto" w:fill="F5F5F5"/>
          <w:rFonts w:ascii="Georgia" w:hAnsi="Georgia"/>
          <w:color w:val="008000"/>
          <w:sz w:val="18"/>
        </w:rPr>
        <w:t>uv run mark2word --check-theme showcase-theme.yaml</w:t>
      </w:r>
    </w:p>
    <w:p>
      <w:pPr>
        <w:pStyle w:val="Mark2wordBody"/>
        <w:spacing w:line="269" w:lineRule="auto" w:before="120" w:after="0"/>
      </w:pPr>
      <w:r>
        <w:rPr>
          <w:rFonts w:ascii="Calibri" w:hAnsi="Calibri"/>
          <w:color w:val="1A1A1A"/>
          <w:sz w:val="22"/>
        </w:rPr>
        <w:t>Per-level list colors in a region:</w:t>
      </w:r>
    </w:p>
    <w:p>
      <w:pPr>
        <w:pStyle w:val="ListBullet"/>
        <w:numPr>
          <w:ilvl w:val="0"/>
          <w:numId w:val="15"/>
        </w:numPr>
        <w:spacing w:before="80" w:after="0"/>
      </w:pPr>
      <w:r>
        <w:rPr>
          <w:rFonts w:ascii="Calibri" w:hAnsi="Calibri"/>
          <w:color w:val="943634"/>
          <w:sz w:val="22"/>
        </w:rPr>
        <w:t>level zero</w:t>
      </w:r>
    </w:p>
    <w:p>
      <w:pPr>
        <w:pStyle w:val="ListBullet"/>
        <w:numPr>
          <w:ilvl w:val="1"/>
          <w:numId w:val="15"/>
        </w:numPr>
        <w:spacing w:before="60" w:after="0"/>
      </w:pPr>
      <w:r>
        <w:rPr>
          <w:rFonts w:ascii="Calibri" w:hAnsi="Calibri"/>
          <w:color w:val="028010"/>
          <w:sz w:val="22"/>
        </w:rPr>
        <w:t>level one</w:t>
      </w:r>
    </w:p>
    <w:p>
      <w:pPr>
        <w:pStyle w:val="ListBullet"/>
        <w:numPr>
          <w:ilvl w:val="2"/>
          <w:numId w:val="15"/>
        </w:numPr>
        <w:spacing w:before="60" w:after="0"/>
      </w:pPr>
      <w:r>
        <w:rPr>
          <w:rFonts w:ascii="Calibri" w:hAnsi="Calibri"/>
          <w:color w:val="1F4E79"/>
          <w:sz w:val="22"/>
        </w:rPr>
        <w:t>level two</w:t>
      </w:r>
    </w:p>
    <w:p>
      <w:pPr>
        <w:pStyle w:val="ListBullet"/>
        <w:numPr>
          <w:ilvl w:val="0"/>
          <w:numId w:val="15"/>
        </w:numPr>
        <w:spacing w:before="60" w:after="0"/>
      </w:pPr>
      <w:r>
        <w:rPr>
          <w:rFonts w:ascii="Calibri" w:hAnsi="Calibri"/>
          <w:color w:val="943634"/>
          <w:sz w:val="22"/>
        </w:rPr>
        <w:t>back to zero</w:t>
      </w:r>
    </w:p>
    <w:p>
      <w:bookmarkStart w:id="12" w:name="appendix-zero-padded-numbers"/>
      <w:pPr>
        <w:pStyle w:val="Heading2"/>
        <w:pBdr>
          <w:bottom w:val="single" w:sz="6" w:space="2" w:color="2B579A"/>
        </w:pBdr>
        <w:spacing w:before="320" w:after="0"/>
      </w:pPr>
      <w:bookmarkEnd w:id="12"/>
      <w:r>
        <w:rPr>
          <w:rFonts w:ascii="Calibri" w:hAnsi="Calibri"/>
          <w:b/>
          <w:color w:val="2B579A"/>
          <w:sz w:val="32"/>
        </w:rPr>
        <w:t>Appendix: Zero-Padded Numbers</w:t>
      </w:r>
    </w:p>
    <w:p>
      <w:pPr>
        <w:pStyle w:val="Mark2wordBody"/>
        <w:spacing w:line="269" w:lineRule="auto" w:before="120" w:after="0"/>
      </w:pPr>
      <w:r>
        <w:rPr>
          <w:rFonts w:ascii="Calibri" w:hAnsi="Calibri"/>
          <w:color w:val="404040"/>
          <w:sz w:val="20"/>
        </w:rPr>
        <w:t xml:space="preserve">The </w:t>
      </w:r>
      <w:r>
        <w:rPr>
          <w:shd w:val="clear" w:color="auto" w:fill="F5F5F5"/>
          <w:rFonts w:ascii="Consolas" w:hAnsi="Consolas"/>
          <w:color w:val="1F497D"/>
          <w:sz w:val="18"/>
        </w:rPr>
        <w:t>$appendix</w:t>
      </w:r>
      <w:r>
        <w:rPr>
          <w:rFonts w:ascii="Calibri" w:hAnsi="Calibri"/>
          <w:color w:val="404040"/>
          <w:sz w:val="20"/>
        </w:rPr>
        <w:t xml:space="preserve"> region sets </w:t>
      </w:r>
      <w:r>
        <w:rPr>
          <w:shd w:val="clear" w:color="auto" w:fill="F5F5F5"/>
          <w:rFonts w:ascii="Consolas" w:hAnsi="Consolas"/>
          <w:color w:val="1F497D"/>
          <w:sz w:val="18"/>
        </w:rPr>
        <w:t>ol.levels.0.format: "01."</w:t>
      </w:r>
      <w:r>
        <w:rPr>
          <w:rFonts w:ascii="Calibri" w:hAnsi="Calibri"/>
          <w:color w:val="404040"/>
          <w:sz w:val="20"/>
        </w:rPr>
        <w:t xml:space="preserve"> for formal enumerations:</w:t>
      </w:r>
    </w:p>
    <w:p>
      <w:pPr>
        <w:pStyle w:val="ListNumber"/>
        <w:numPr>
          <w:ilvl w:val="0"/>
          <w:numId w:val="16"/>
        </w:numPr>
        <w:spacing w:before="80" w:after="0"/>
      </w:pPr>
      <w:r>
        <w:rPr>
          <w:rFonts w:ascii="Calibri" w:hAnsi="Calibri"/>
          <w:color w:val="1A1A1A"/>
          <w:sz w:val="22"/>
        </w:rPr>
        <w:t>First appendix item</w:t>
      </w:r>
    </w:p>
    <w:p>
      <w:pPr>
        <w:pStyle w:val="ListNumber"/>
        <w:numPr>
          <w:ilvl w:val="0"/>
          <w:numId w:val="16"/>
        </w:numPr>
        <w:spacing w:before="60" w:after="0"/>
      </w:pPr>
      <w:r>
        <w:rPr>
          <w:rFonts w:ascii="Calibri" w:hAnsi="Calibri"/>
          <w:color w:val="1A1A1A"/>
          <w:sz w:val="22"/>
        </w:rPr>
        <w:t>Second appendix item</w:t>
      </w:r>
    </w:p>
    <w:p>
      <w:pPr>
        <w:pStyle w:val="ListNumber"/>
        <w:numPr>
          <w:ilvl w:val="0"/>
          <w:numId w:val="16"/>
        </w:numPr>
        <w:spacing w:before="60" w:after="0"/>
      </w:pPr>
      <w:r>
        <w:rPr>
          <w:rFonts w:ascii="Calibri" w:hAnsi="Calibri"/>
          <w:color w:val="1A1A1A"/>
          <w:sz w:val="22"/>
        </w:rPr>
        <w:t>Third appendix item</w:t>
      </w:r>
    </w:p>
    <w:p>
      <w:pPr>
        <w:pStyle w:val="Mark2wordBody"/>
        <w:spacing w:line="269" w:lineRule="auto" w:before="280" w:after="0"/>
        <w:pBdr>
          <w:bottom w:val="single" w:sz="6" w:space="2" w:color="2B579A"/>
        </w:pBdr>
      </w:pPr>
    </w:p>
    <w:p>
      <w:pPr>
        <w:pStyle w:val="Mark2wordBody"/>
        <w:spacing w:line="269" w:lineRule="auto" w:before="280" w:after="0"/>
      </w:pPr>
      <w:r>
        <w:rPr>
          <w:rFonts w:ascii="Calibri" w:hAnsi="Calibri"/>
          <w:i/>
          <w:color w:val="1A1A1A"/>
          <w:sz w:val="22"/>
        </w:rPr>
        <w:t xml:space="preserve">End of gallery body. The line below is a styled region, not the Word page footer (see theme </w:t>
      </w:r>
      <w:r>
        <w:rPr>
          <w:shd w:val="clear" w:color="auto" w:fill="F5F5F5"/>
          <w:rFonts w:ascii="Consolas" w:hAnsi="Consolas"/>
          <w:color w:val="1F497D"/>
          <w:sz w:val="18"/>
        </w:rPr>
        <w:t>page.footer</w:t>
      </w:r>
      <w:r>
        <w:rPr>
          <w:rFonts w:ascii="Calibri" w:hAnsi="Calibri"/>
          <w:i/>
          <w:color w:val="1A1A1A"/>
          <w:sz w:val="22"/>
        </w:rPr>
        <w:t>).</w:t>
      </w:r>
    </w:p>
    <w:p>
      <w:pPr>
        <w:pStyle w:val="Mark2wordBody"/>
        <w:spacing w:line="269" w:lineRule="auto" w:before="240" w:after="80"/>
        <w:jc w:val="left"/>
        <w:tabs>
          <w:tab w:val="right" w:leader="none" w:pos="10368"/>
        </w:tabs>
      </w:pPr>
      <w:r>
        <w:rPr>
          <w:rFonts w:ascii="Calibri" w:hAnsi="Calibri"/>
          <w:color w:val="7F7F7F"/>
          <w:sz w:val="16"/>
        </w:rPr>
        <w:t>mark2word showcase</w:t>
      </w:r>
      <w:r>
        <w:tab/>
      </w:r>
      <w:r>
        <w:rPr>
          <w:rFonts w:ascii="Calibri" w:hAnsi="Calibri"/>
          <w:color w:val="7F7F7F"/>
          <w:sz w:val="16"/>
        </w:rPr>
        <w:t>generated from docs/examples/showcase.md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clear" w:pos="4680"/>
        <w:tab w:val="clear" w:pos="9360"/>
        <w:tab w:val="right" w:leader="none" w:pos="10368"/>
      </w:tabs>
    </w:pPr>
    <w:r/>
    <w:r>
      <w:t xml:space="preserve">Style Gallery · showcase.md</w:t>
    </w:r>
    <w:r>
      <w:tab/>
    </w:r>
    <w: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tabs>
        <w:tab w:val="clear" w:pos="4680"/>
        <w:tab w:val="clear" w:pos="9360"/>
        <w:tab w:val="right" w:leader="none" w:pos="10368"/>
      </w:tabs>
    </w:pPr>
    <w:r/>
    <w:r>
      <w:t xml:space="preserve">mark2word</w:t>
    </w:r>
    <w:r>
      <w:tab/>
    </w:r>
    <w:r>
      <w:t xml:space="preserve">mark2word Style Gallery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2">
    <w:multiLevelType w:val="multilevel"/>
    <w:lvl w:ilvl="0">
      <w:start w:val="1"/>
      <w:numFmt w:val="decimalZero"/>
      <w:lvlText w:val="%1."/>
      <w:lvlJc w:val="left"/>
      <w:pPr>
        <w:ind w:left="280" w:hanging="280"/>
      </w:pPr>
    </w:lvl>
    <w:lvl w:ilvl="1">
      <w:start w:val="1"/>
      <w:numFmt w:val="lowerLetter"/>
      <w:lvlText w:val="%2."/>
      <w:lvlJc w:val="left"/>
      <w:pPr>
        <w:ind w:left="560" w:hanging="280"/>
      </w:pPr>
    </w:lvl>
    <w:lvl w:ilvl="2">
      <w:start w:val="1"/>
      <w:numFmt w:val="lowerRoman"/>
      <w:lvlText w:val="%3."/>
      <w:lvlJc w:val="left"/>
      <w:pPr>
        <w:ind w:left="840" w:hanging="280"/>
      </w:pPr>
    </w:lvl>
    <w:lvl w:ilvl="3">
      <w:start w:val="1"/>
      <w:numFmt w:val="decimal"/>
      <w:lvlText w:val="%4."/>
      <w:lvlJc w:val="left"/>
      <w:pPr>
        <w:ind w:left="1120" w:hanging="280"/>
      </w:pPr>
    </w:lvl>
    <w:lvl w:ilvl="4">
      <w:start w:val="1"/>
      <w:numFmt w:val="decimal"/>
      <w:lvlText w:val="%5."/>
      <w:lvlJc w:val="left"/>
      <w:pPr>
        <w:ind w:left="1400" w:hanging="280"/>
      </w:pPr>
    </w:lvl>
    <w:lvl w:ilvl="5">
      <w:start w:val="1"/>
      <w:numFmt w:val="decimal"/>
      <w:lvlText w:val="%6."/>
      <w:lvlJc w:val="left"/>
      <w:pPr>
        <w:ind w:left="1680" w:hanging="280"/>
      </w:pPr>
    </w:lvl>
    <w:lvl w:ilvl="6">
      <w:start w:val="1"/>
      <w:numFmt w:val="decimal"/>
      <w:lvlText w:val="%7."/>
      <w:lvlJc w:val="left"/>
      <w:pPr>
        <w:ind w:left="1960" w:hanging="280"/>
      </w:pPr>
    </w:lvl>
    <w:lvl w:ilvl="7">
      <w:start w:val="1"/>
      <w:numFmt w:val="decimal"/>
      <w:lvlText w:val="%8."/>
      <w:lvlJc w:val="left"/>
      <w:pPr>
        <w:ind w:left="2240" w:hanging="280"/>
      </w:pPr>
    </w:lvl>
    <w:lvl w:ilvl="8">
      <w:start w:val="1"/>
      <w:numFmt w:val="decimal"/>
      <w:lvlText w:val="%9."/>
      <w:lvlJc w:val="left"/>
      <w:pPr>
        <w:ind w:left="2520" w:hanging="280"/>
      </w:pPr>
    </w:lvl>
  </w:abstractNum>
  <w:abstractNum w:abstractNumId="11">
    <w:multiLevelType w:val="multilevel"/>
    <w:lvl w:ilvl="0">
      <w:start w:val="1"/>
      <w:numFmt w:val="bullet"/>
      <w:lvlText w:val="*"/>
      <w:lvlJc w:val="left"/>
      <w:pPr>
        <w:ind w:left="200" w:hanging="200"/>
      </w:pPr>
    </w:lvl>
    <w:lvl w:ilvl="1">
      <w:start w:val="1"/>
      <w:numFmt w:val="bullet"/>
      <w:lvlText w:val="o"/>
      <w:lvlJc w:val="left"/>
      <w:pPr>
        <w:ind w:left="480" w:hanging="200"/>
      </w:pPr>
    </w:lvl>
    <w:lvl w:ilvl="2">
      <w:start w:val="1"/>
      <w:numFmt w:val="bullet"/>
      <w:lvlText w:val="-"/>
      <w:lvlJc w:val="left"/>
      <w:pPr>
        <w:ind w:left="760" w:hanging="200"/>
      </w:pPr>
    </w:lvl>
    <w:lvl w:ilvl="3">
      <w:start w:val="1"/>
      <w:numFmt w:val="bullet"/>
      <w:lvlText w:val="•"/>
      <w:lvlJc w:val="left"/>
      <w:pPr>
        <w:ind w:left="1040" w:hanging="200"/>
      </w:pPr>
    </w:lvl>
    <w:lvl w:ilvl="4">
      <w:start w:val="1"/>
      <w:numFmt w:val="bullet"/>
      <w:lvlText w:val="•"/>
      <w:lvlJc w:val="left"/>
      <w:pPr>
        <w:ind w:left="1320" w:hanging="200"/>
      </w:pPr>
    </w:lvl>
    <w:lvl w:ilvl="5">
      <w:start w:val="1"/>
      <w:numFmt w:val="bullet"/>
      <w:lvlText w:val="•"/>
      <w:lvlJc w:val="left"/>
      <w:pPr>
        <w:ind w:left="1600" w:hanging="200"/>
      </w:pPr>
    </w:lvl>
    <w:lvl w:ilvl="6">
      <w:start w:val="1"/>
      <w:numFmt w:val="bullet"/>
      <w:lvlText w:val="•"/>
      <w:lvlJc w:val="left"/>
      <w:pPr>
        <w:ind w:left="1880" w:hanging="200"/>
      </w:pPr>
    </w:lvl>
    <w:lvl w:ilvl="7">
      <w:start w:val="1"/>
      <w:numFmt w:val="bullet"/>
      <w:lvlText w:val="•"/>
      <w:lvlJc w:val="left"/>
      <w:pPr>
        <w:ind w:left="2160" w:hanging="200"/>
      </w:pPr>
    </w:lvl>
    <w:lvl w:ilvl="8">
      <w:start w:val="1"/>
      <w:numFmt w:val="bullet"/>
      <w:lvlText w:val="•"/>
      <w:lvlJc w:val="left"/>
      <w:pPr>
        <w:ind w:left="2440" w:hanging="200"/>
      </w:pPr>
    </w:lvl>
  </w:abstractNum>
  <w:abstractNum w:abstractNumId="10">
    <w:multiLevelType w:val="multilevel"/>
    <w:lvl w:ilvl="0">
      <w:start w:val="1"/>
      <w:numFmt w:val="decimal"/>
      <w:lvlText w:val="%1."/>
      <w:lvlJc w:val="left"/>
      <w:pPr>
        <w:ind w:left="280" w:hanging="280"/>
      </w:pPr>
    </w:lvl>
    <w:lvl w:ilvl="1">
      <w:start w:val="1"/>
      <w:numFmt w:val="lowerLetter"/>
      <w:lvlText w:val="%2."/>
      <w:lvlJc w:val="left"/>
      <w:pPr>
        <w:ind w:left="560" w:hanging="280"/>
      </w:pPr>
    </w:lvl>
    <w:lvl w:ilvl="2">
      <w:start w:val="1"/>
      <w:numFmt w:val="lowerRoman"/>
      <w:lvlText w:val="%3."/>
      <w:lvlJc w:val="left"/>
      <w:pPr>
        <w:ind w:left="840" w:hanging="280"/>
      </w:pPr>
    </w:lvl>
    <w:lvl w:ilvl="3">
      <w:start w:val="1"/>
      <w:numFmt w:val="decimal"/>
      <w:lvlText w:val="%4."/>
      <w:lvlJc w:val="left"/>
      <w:pPr>
        <w:ind w:left="1120" w:hanging="280"/>
      </w:pPr>
    </w:lvl>
    <w:lvl w:ilvl="4">
      <w:start w:val="1"/>
      <w:numFmt w:val="decimal"/>
      <w:lvlText w:val="%5."/>
      <w:lvlJc w:val="left"/>
      <w:pPr>
        <w:ind w:left="1400" w:hanging="280"/>
      </w:pPr>
    </w:lvl>
    <w:lvl w:ilvl="5">
      <w:start w:val="1"/>
      <w:numFmt w:val="decimal"/>
      <w:lvlText w:val="%6."/>
      <w:lvlJc w:val="left"/>
      <w:pPr>
        <w:ind w:left="1680" w:hanging="280"/>
      </w:pPr>
    </w:lvl>
    <w:lvl w:ilvl="6">
      <w:start w:val="1"/>
      <w:numFmt w:val="decimal"/>
      <w:lvlText w:val="%7."/>
      <w:lvlJc w:val="left"/>
      <w:pPr>
        <w:ind w:left="1960" w:hanging="280"/>
      </w:pPr>
    </w:lvl>
    <w:lvl w:ilvl="7">
      <w:start w:val="1"/>
      <w:numFmt w:val="decimal"/>
      <w:lvlText w:val="%8."/>
      <w:lvlJc w:val="left"/>
      <w:pPr>
        <w:ind w:left="2240" w:hanging="280"/>
      </w:pPr>
    </w:lvl>
    <w:lvl w:ilvl="8">
      <w:start w:val="1"/>
      <w:numFmt w:val="decimal"/>
      <w:lvlText w:val="%9."/>
      <w:lvlJc w:val="left"/>
      <w:pPr>
        <w:ind w:left="2520" w:hanging="280"/>
      </w:pPr>
    </w:lvl>
  </w:abstractNum>
  <w:abstractNum w:abstractNumId="9">
    <w:multiLevelType w:val="multilevel"/>
    <w:lvl w:ilvl="0">
      <w:start w:val="1"/>
      <w:numFmt w:val="bullet"/>
      <w:lvlText w:val="*"/>
      <w:lvlJc w:val="left"/>
      <w:pPr>
        <w:ind w:left="280" w:hanging="280"/>
      </w:pPr>
    </w:lvl>
    <w:lvl w:ilvl="1">
      <w:start w:val="1"/>
      <w:numFmt w:val="bullet"/>
      <w:lvlText w:val="o"/>
      <w:lvlJc w:val="left"/>
      <w:pPr>
        <w:ind w:left="560" w:hanging="280"/>
      </w:pPr>
    </w:lvl>
    <w:lvl w:ilvl="2">
      <w:start w:val="1"/>
      <w:numFmt w:val="bullet"/>
      <w:lvlText w:val="-"/>
      <w:lvlJc w:val="left"/>
      <w:pPr>
        <w:ind w:left="840" w:hanging="280"/>
      </w:pPr>
    </w:lvl>
    <w:lvl w:ilvl="3">
      <w:start w:val="1"/>
      <w:numFmt w:val="bullet"/>
      <w:lvlText w:val="•"/>
      <w:lvlJc w:val="left"/>
      <w:pPr>
        <w:ind w:left="1120" w:hanging="280"/>
      </w:pPr>
    </w:lvl>
    <w:lvl w:ilvl="4">
      <w:start w:val="1"/>
      <w:numFmt w:val="bullet"/>
      <w:lvlText w:val="•"/>
      <w:lvlJc w:val="left"/>
      <w:pPr>
        <w:ind w:left="1400" w:hanging="280"/>
      </w:pPr>
    </w:lvl>
    <w:lvl w:ilvl="5">
      <w:start w:val="1"/>
      <w:numFmt w:val="bullet"/>
      <w:lvlText w:val="•"/>
      <w:lvlJc w:val="left"/>
      <w:pPr>
        <w:ind w:left="1680" w:hanging="280"/>
      </w:pPr>
    </w:lvl>
    <w:lvl w:ilvl="6">
      <w:start w:val="1"/>
      <w:numFmt w:val="bullet"/>
      <w:lvlText w:val="•"/>
      <w:lvlJc w:val="left"/>
      <w:pPr>
        <w:ind w:left="1960" w:hanging="280"/>
      </w:pPr>
    </w:lvl>
    <w:lvl w:ilvl="7">
      <w:start w:val="1"/>
      <w:numFmt w:val="bullet"/>
      <w:lvlText w:val="•"/>
      <w:lvlJc w:val="left"/>
      <w:pPr>
        <w:ind w:left="2240" w:hanging="280"/>
      </w:pPr>
    </w:lvl>
    <w:lvl w:ilvl="8">
      <w:start w:val="1"/>
      <w:numFmt w:val="bullet"/>
      <w:lvlText w:val="•"/>
      <w:lvlJc w:val="left"/>
      <w:pPr>
        <w:ind w:left="2520" w:hanging="280"/>
      </w:p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10"/>
  </w:num>
  <w:num w:numId="13">
    <w:abstractNumId w:val="10"/>
    <w:lvlOverride w:ilvl="0">
      <w:startOverride w:val="9"/>
    </w:lvlOverride>
  </w:num>
  <w:num w:numId="14">
    <w:abstractNumId w:val="11"/>
  </w:num>
  <w:num w:numId="15">
    <w:abstractNumId w:val="9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B579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2B579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B579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b/>
      <w:color w:val="40404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b/>
      <w:i/>
      <w:iCs/>
      <w:color w:val="666666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Mark2wordBody">
    <w:name w:val="Mark2word Body"/>
    <w:basedOn w:val="Normal"/>
    <w:pPr>
      <w:spacing w:before="0" w:after="0"/>
    </w:pPr>
    <w:rPr>
      <w:rFonts w:ascii="Calibri" w:hAnsi="Calibri"/>
      <w:color w:val="1A1A1A"/>
      <w:sz w:val="22"/>
    </w:rPr>
  </w:style>
  <w:style w:type="paragraph" w:styleId="Mark2wordCodeBlock">
    <w:name w:val="Mark2word Code Block"/>
    <w:basedOn w:val="Normal"/>
    <w:pPr>
      <w:shd w:val="clear" w:color="auto" w:fill="F5F5F5"/>
      <w:spacing w:before="0" w:after="0"/>
    </w:pPr>
    <w:rPr>
      <w:rFonts w:ascii="Consolas" w:hAnsi="Consolas"/>
      <w:color w:val="1F497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Mullans/mark2Word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