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7"/>
        <w:ind w:left="622"/>
      </w:pPr>
      <w:r>
        <w:rPr>
          <w:color w:val="121512"/>
        </w:rPr>
        <w:t>PLAN</w:t>
      </w:r>
      <w:r>
        <w:rPr>
          <w:color w:val="121512"/>
          <w:spacing w:val="-4"/>
        </w:rPr>
        <w:t> </w:t>
      </w:r>
      <w:r>
        <w:rPr>
          <w:color w:val="121512"/>
        </w:rPr>
        <w:t>DE</w:t>
      </w:r>
      <w:r>
        <w:rPr>
          <w:color w:val="121512"/>
          <w:spacing w:val="-3"/>
        </w:rPr>
        <w:t> </w:t>
      </w:r>
      <w:r>
        <w:rPr>
          <w:color w:val="121512"/>
        </w:rPr>
        <w:t>MANTENIMIENTO</w:t>
      </w:r>
      <w:r>
        <w:rPr>
          <w:color w:val="121512"/>
          <w:spacing w:val="-6"/>
        </w:rPr>
        <w:t> </w:t>
      </w:r>
      <w:r>
        <w:rPr>
          <w:color w:val="121512"/>
        </w:rPr>
        <w:t>Y </w:t>
      </w:r>
      <w:r>
        <w:rPr>
          <w:color w:val="121512"/>
          <w:spacing w:val="-2"/>
        </w:rPr>
        <w:t>SOPORTE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5"/>
        <w:rPr>
          <w:sz w:val="20"/>
        </w:rPr>
      </w:pPr>
    </w:p>
    <w:tbl>
      <w:tblPr>
        <w:tblW w:w="0" w:type="auto"/>
        <w:jc w:val="left"/>
        <w:tblInd w:w="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97"/>
        <w:gridCol w:w="2206"/>
        <w:gridCol w:w="2209"/>
        <w:gridCol w:w="2588"/>
      </w:tblGrid>
      <w:tr>
        <w:trPr>
          <w:trHeight w:val="1034" w:hRule="atLeast"/>
        </w:trPr>
        <w:tc>
          <w:tcPr>
            <w:tcW w:w="2497" w:type="dxa"/>
          </w:tcPr>
          <w:p>
            <w:pPr>
              <w:pStyle w:val="TableParagraph"/>
              <w:spacing w:before="242"/>
              <w:ind w:left="105" w:right="631"/>
              <w:rPr>
                <w:sz w:val="24"/>
              </w:rPr>
            </w:pPr>
            <w:r>
              <w:rPr>
                <w:color w:val="121512"/>
                <w:sz w:val="24"/>
              </w:rPr>
              <w:t>Tipo de </w:t>
            </w:r>
            <w:r>
              <w:rPr>
                <w:color w:val="121512"/>
                <w:spacing w:val="-2"/>
                <w:sz w:val="24"/>
              </w:rPr>
              <w:t>Mantenimiento</w:t>
            </w:r>
          </w:p>
        </w:tc>
        <w:tc>
          <w:tcPr>
            <w:tcW w:w="2206" w:type="dxa"/>
          </w:tcPr>
          <w:p>
            <w:pPr>
              <w:pStyle w:val="TableParagraph"/>
              <w:spacing w:before="242"/>
              <w:ind w:left="104"/>
              <w:rPr>
                <w:sz w:val="24"/>
              </w:rPr>
            </w:pPr>
            <w:r>
              <w:rPr>
                <w:color w:val="121512"/>
                <w:spacing w:val="-2"/>
                <w:sz w:val="24"/>
              </w:rPr>
              <w:t>Descripción</w:t>
            </w:r>
          </w:p>
        </w:tc>
        <w:tc>
          <w:tcPr>
            <w:tcW w:w="2209" w:type="dxa"/>
          </w:tcPr>
          <w:p>
            <w:pPr>
              <w:pStyle w:val="TableParagraph"/>
              <w:spacing w:before="242"/>
              <w:rPr>
                <w:sz w:val="24"/>
              </w:rPr>
            </w:pPr>
            <w:r>
              <w:rPr>
                <w:color w:val="121512"/>
                <w:spacing w:val="-2"/>
                <w:sz w:val="24"/>
              </w:rPr>
              <w:t>Actividades</w:t>
            </w:r>
          </w:p>
        </w:tc>
        <w:tc>
          <w:tcPr>
            <w:tcW w:w="2588" w:type="dxa"/>
          </w:tcPr>
          <w:p>
            <w:pPr>
              <w:pStyle w:val="TableParagraph"/>
              <w:spacing w:before="242"/>
              <w:rPr>
                <w:sz w:val="24"/>
              </w:rPr>
            </w:pPr>
            <w:r>
              <w:rPr>
                <w:color w:val="121512"/>
                <w:spacing w:val="-2"/>
                <w:sz w:val="24"/>
              </w:rPr>
              <w:t>Frecuencia</w:t>
            </w:r>
          </w:p>
        </w:tc>
      </w:tr>
      <w:tr>
        <w:trPr>
          <w:trHeight w:val="1584" w:hRule="atLeast"/>
        </w:trPr>
        <w:tc>
          <w:tcPr>
            <w:tcW w:w="2497" w:type="dxa"/>
          </w:tcPr>
          <w:p>
            <w:pPr>
              <w:pStyle w:val="TableParagraph"/>
              <w:ind w:left="105" w:right="631"/>
              <w:rPr>
                <w:sz w:val="24"/>
              </w:rPr>
            </w:pPr>
            <w:r>
              <w:rPr>
                <w:color w:val="121512"/>
                <w:spacing w:val="-2"/>
                <w:sz w:val="24"/>
              </w:rPr>
              <w:t>Mantenimiento correctivo</w:t>
            </w:r>
          </w:p>
        </w:tc>
        <w:tc>
          <w:tcPr>
            <w:tcW w:w="2206" w:type="dxa"/>
          </w:tcPr>
          <w:p>
            <w:pPr>
              <w:pStyle w:val="TableParagraph"/>
              <w:ind w:left="104" w:right="124"/>
              <w:rPr>
                <w:sz w:val="24"/>
              </w:rPr>
            </w:pPr>
            <w:r>
              <w:rPr>
                <w:color w:val="121512"/>
                <w:sz w:val="24"/>
              </w:rPr>
              <w:t>Solucionar</w:t>
            </w:r>
            <w:r>
              <w:rPr>
                <w:color w:val="121512"/>
                <w:spacing w:val="-17"/>
                <w:sz w:val="24"/>
              </w:rPr>
              <w:t> </w:t>
            </w:r>
            <w:r>
              <w:rPr>
                <w:color w:val="121512"/>
                <w:sz w:val="24"/>
              </w:rPr>
              <w:t>errores </w:t>
            </w:r>
            <w:r>
              <w:rPr>
                <w:color w:val="121512"/>
                <w:spacing w:val="-2"/>
                <w:sz w:val="24"/>
              </w:rPr>
              <w:t>detectados </w:t>
            </w:r>
            <w:r>
              <w:rPr>
                <w:color w:val="121512"/>
                <w:sz w:val="24"/>
              </w:rPr>
              <w:t>después del </w:t>
            </w:r>
            <w:r>
              <w:rPr>
                <w:color w:val="121512"/>
                <w:spacing w:val="-2"/>
                <w:sz w:val="24"/>
              </w:rPr>
              <w:t>lanzamiento</w:t>
            </w:r>
          </w:p>
        </w:tc>
        <w:tc>
          <w:tcPr>
            <w:tcW w:w="220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21512"/>
                <w:sz w:val="24"/>
              </w:rPr>
              <w:t>Arreglos de problemas</w:t>
            </w:r>
            <w:r>
              <w:rPr>
                <w:color w:val="121512"/>
                <w:spacing w:val="-17"/>
                <w:sz w:val="24"/>
              </w:rPr>
              <w:t> </w:t>
            </w:r>
            <w:r>
              <w:rPr>
                <w:color w:val="121512"/>
                <w:sz w:val="24"/>
              </w:rPr>
              <w:t>de </w:t>
            </w:r>
            <w:r>
              <w:rPr>
                <w:color w:val="121512"/>
                <w:spacing w:val="-2"/>
                <w:sz w:val="24"/>
              </w:rPr>
              <w:t>conexión</w:t>
            </w:r>
          </w:p>
        </w:tc>
        <w:tc>
          <w:tcPr>
            <w:tcW w:w="2588" w:type="dxa"/>
          </w:tcPr>
          <w:p>
            <w:pPr>
              <w:pStyle w:val="TableParagraph"/>
              <w:ind w:right="130"/>
              <w:rPr>
                <w:sz w:val="24"/>
              </w:rPr>
            </w:pPr>
            <w:r>
              <w:rPr>
                <w:color w:val="121512"/>
                <w:sz w:val="24"/>
              </w:rPr>
              <w:t>Inmediata para errores críticos. Semanal</w:t>
            </w:r>
            <w:r>
              <w:rPr>
                <w:color w:val="121512"/>
                <w:spacing w:val="-17"/>
                <w:sz w:val="24"/>
              </w:rPr>
              <w:t> </w:t>
            </w:r>
            <w:r>
              <w:rPr>
                <w:color w:val="121512"/>
                <w:sz w:val="24"/>
              </w:rPr>
              <w:t>para</w:t>
            </w:r>
            <w:r>
              <w:rPr>
                <w:color w:val="121512"/>
                <w:spacing w:val="-17"/>
                <w:sz w:val="24"/>
              </w:rPr>
              <w:t> </w:t>
            </w:r>
            <w:r>
              <w:rPr>
                <w:color w:val="121512"/>
                <w:sz w:val="24"/>
              </w:rPr>
              <w:t>errores </w:t>
            </w:r>
            <w:r>
              <w:rPr>
                <w:color w:val="121512"/>
                <w:spacing w:val="-2"/>
                <w:sz w:val="24"/>
              </w:rPr>
              <w:t>menores.</w:t>
            </w:r>
          </w:p>
        </w:tc>
      </w:tr>
      <w:tr>
        <w:trPr>
          <w:trHeight w:val="1307" w:hRule="atLeast"/>
        </w:trPr>
        <w:tc>
          <w:tcPr>
            <w:tcW w:w="2497" w:type="dxa"/>
          </w:tcPr>
          <w:p>
            <w:pPr>
              <w:pStyle w:val="TableParagraph"/>
              <w:ind w:left="105" w:right="631"/>
              <w:rPr>
                <w:sz w:val="24"/>
              </w:rPr>
            </w:pPr>
            <w:r>
              <w:rPr>
                <w:color w:val="121512"/>
                <w:spacing w:val="-2"/>
                <w:sz w:val="24"/>
              </w:rPr>
              <w:t>Mantenimiento adaptativo</w:t>
            </w:r>
          </w:p>
        </w:tc>
        <w:tc>
          <w:tcPr>
            <w:tcW w:w="2206" w:type="dxa"/>
          </w:tcPr>
          <w:p>
            <w:pPr>
              <w:pStyle w:val="TableParagraph"/>
              <w:ind w:left="104" w:right="124"/>
              <w:rPr>
                <w:sz w:val="24"/>
              </w:rPr>
            </w:pPr>
            <w:r>
              <w:rPr>
                <w:color w:val="121512"/>
                <w:sz w:val="24"/>
              </w:rPr>
              <w:t>Ajustar</w:t>
            </w:r>
            <w:r>
              <w:rPr>
                <w:color w:val="121512"/>
                <w:spacing w:val="-13"/>
                <w:sz w:val="24"/>
              </w:rPr>
              <w:t> </w:t>
            </w:r>
            <w:r>
              <w:rPr>
                <w:color w:val="121512"/>
                <w:sz w:val="24"/>
              </w:rPr>
              <w:t>el</w:t>
            </w:r>
            <w:r>
              <w:rPr>
                <w:color w:val="121512"/>
                <w:spacing w:val="-13"/>
                <w:sz w:val="24"/>
              </w:rPr>
              <w:t> </w:t>
            </w:r>
            <w:r>
              <w:rPr>
                <w:color w:val="121512"/>
                <w:sz w:val="24"/>
              </w:rPr>
              <w:t>juego</w:t>
            </w:r>
            <w:r>
              <w:rPr>
                <w:color w:val="121512"/>
                <w:spacing w:val="-13"/>
                <w:sz w:val="24"/>
              </w:rPr>
              <w:t> </w:t>
            </w:r>
            <w:r>
              <w:rPr>
                <w:color w:val="121512"/>
                <w:sz w:val="24"/>
              </w:rPr>
              <w:t>a </w:t>
            </w:r>
            <w:r>
              <w:rPr>
                <w:color w:val="121512"/>
                <w:spacing w:val="-2"/>
                <w:sz w:val="24"/>
              </w:rPr>
              <w:t>nuevas plataformas</w:t>
            </w:r>
          </w:p>
        </w:tc>
        <w:tc>
          <w:tcPr>
            <w:tcW w:w="220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21512"/>
                <w:sz w:val="24"/>
              </w:rPr>
              <w:t>Adaptación a nuevas</w:t>
            </w:r>
            <w:r>
              <w:rPr>
                <w:color w:val="121512"/>
                <w:spacing w:val="-17"/>
                <w:sz w:val="24"/>
              </w:rPr>
              <w:t> </w:t>
            </w:r>
            <w:r>
              <w:rPr>
                <w:color w:val="121512"/>
                <w:sz w:val="24"/>
              </w:rPr>
              <w:t>versiones de sistemas</w:t>
            </w:r>
          </w:p>
        </w:tc>
        <w:tc>
          <w:tcPr>
            <w:tcW w:w="2588" w:type="dxa"/>
          </w:tcPr>
          <w:p>
            <w:pPr>
              <w:pStyle w:val="TableParagraph"/>
              <w:ind w:right="201"/>
              <w:jc w:val="both"/>
              <w:rPr>
                <w:sz w:val="24"/>
              </w:rPr>
            </w:pPr>
            <w:r>
              <w:rPr>
                <w:color w:val="121512"/>
                <w:sz w:val="24"/>
              </w:rPr>
              <w:t>Trimestral</w:t>
            </w:r>
            <w:r>
              <w:rPr>
                <w:color w:val="121512"/>
                <w:spacing w:val="-4"/>
                <w:sz w:val="24"/>
              </w:rPr>
              <w:t> </w:t>
            </w:r>
            <w:r>
              <w:rPr>
                <w:color w:val="121512"/>
                <w:sz w:val="24"/>
              </w:rPr>
              <w:t>o</w:t>
            </w:r>
            <w:r>
              <w:rPr>
                <w:color w:val="121512"/>
                <w:spacing w:val="-4"/>
                <w:sz w:val="24"/>
              </w:rPr>
              <w:t> </w:t>
            </w:r>
            <w:r>
              <w:rPr>
                <w:color w:val="121512"/>
                <w:sz w:val="24"/>
              </w:rPr>
              <w:t>según</w:t>
            </w:r>
            <w:r>
              <w:rPr>
                <w:color w:val="121512"/>
                <w:spacing w:val="-4"/>
                <w:sz w:val="24"/>
              </w:rPr>
              <w:t> </w:t>
            </w:r>
            <w:r>
              <w:rPr>
                <w:color w:val="121512"/>
                <w:sz w:val="24"/>
              </w:rPr>
              <w:t>la necesidad</w:t>
            </w:r>
            <w:r>
              <w:rPr>
                <w:color w:val="121512"/>
                <w:spacing w:val="-17"/>
                <w:sz w:val="24"/>
              </w:rPr>
              <w:t> </w:t>
            </w:r>
            <w:r>
              <w:rPr>
                <w:color w:val="121512"/>
                <w:sz w:val="24"/>
              </w:rPr>
              <w:t>de</w:t>
            </w:r>
            <w:r>
              <w:rPr>
                <w:color w:val="121512"/>
                <w:spacing w:val="-17"/>
                <w:sz w:val="24"/>
              </w:rPr>
              <w:t> </w:t>
            </w:r>
            <w:r>
              <w:rPr>
                <w:color w:val="121512"/>
                <w:sz w:val="24"/>
              </w:rPr>
              <w:t>nuevas </w:t>
            </w:r>
            <w:r>
              <w:rPr>
                <w:color w:val="121512"/>
                <w:spacing w:val="-2"/>
                <w:sz w:val="24"/>
              </w:rPr>
              <w:t>versiones.</w:t>
            </w:r>
          </w:p>
        </w:tc>
      </w:tr>
      <w:tr>
        <w:trPr>
          <w:trHeight w:val="1859" w:hRule="atLeast"/>
        </w:trPr>
        <w:tc>
          <w:tcPr>
            <w:tcW w:w="2497" w:type="dxa"/>
          </w:tcPr>
          <w:p>
            <w:pPr>
              <w:pStyle w:val="TableParagraph"/>
              <w:ind w:left="105" w:right="631"/>
              <w:rPr>
                <w:sz w:val="24"/>
              </w:rPr>
            </w:pPr>
            <w:r>
              <w:rPr>
                <w:color w:val="121512"/>
                <w:spacing w:val="-2"/>
                <w:sz w:val="24"/>
              </w:rPr>
              <w:t>Mantenimiento perfectivo</w:t>
            </w:r>
          </w:p>
        </w:tc>
        <w:tc>
          <w:tcPr>
            <w:tcW w:w="2206" w:type="dxa"/>
          </w:tcPr>
          <w:p>
            <w:pPr>
              <w:pStyle w:val="TableParagraph"/>
              <w:ind w:left="104" w:right="162"/>
              <w:rPr>
                <w:sz w:val="24"/>
              </w:rPr>
            </w:pPr>
            <w:r>
              <w:rPr>
                <w:color w:val="121512"/>
                <w:sz w:val="24"/>
              </w:rPr>
              <w:t>Mejoras en </w:t>
            </w:r>
            <w:r>
              <w:rPr>
                <w:color w:val="121512"/>
                <w:spacing w:val="-2"/>
                <w:sz w:val="24"/>
              </w:rPr>
              <w:t>nuevas funcionalidades</w:t>
            </w:r>
          </w:p>
        </w:tc>
        <w:tc>
          <w:tcPr>
            <w:tcW w:w="2209" w:type="dxa"/>
          </w:tcPr>
          <w:p>
            <w:pPr>
              <w:pStyle w:val="TableParagraph"/>
              <w:ind w:right="475"/>
              <w:rPr>
                <w:sz w:val="24"/>
              </w:rPr>
            </w:pPr>
            <w:r>
              <w:rPr>
                <w:color w:val="121512"/>
                <w:sz w:val="24"/>
              </w:rPr>
              <w:t>Mejoras de la interfaz y experiencia</w:t>
            </w:r>
            <w:r>
              <w:rPr>
                <w:color w:val="121512"/>
                <w:spacing w:val="-17"/>
                <w:sz w:val="24"/>
              </w:rPr>
              <w:t> </w:t>
            </w:r>
            <w:r>
              <w:rPr>
                <w:color w:val="121512"/>
                <w:sz w:val="24"/>
              </w:rPr>
              <w:t>del </w:t>
            </w:r>
            <w:r>
              <w:rPr>
                <w:color w:val="121512"/>
                <w:spacing w:val="-2"/>
                <w:sz w:val="24"/>
              </w:rPr>
              <w:t>usuario</w:t>
            </w:r>
          </w:p>
        </w:tc>
        <w:tc>
          <w:tcPr>
            <w:tcW w:w="2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21512"/>
                <w:sz w:val="24"/>
              </w:rPr>
              <w:t>Bimensual (para pequeñas</w:t>
            </w:r>
            <w:r>
              <w:rPr>
                <w:color w:val="121512"/>
                <w:spacing w:val="-17"/>
                <w:sz w:val="24"/>
              </w:rPr>
              <w:t> </w:t>
            </w:r>
            <w:r>
              <w:rPr>
                <w:color w:val="121512"/>
                <w:sz w:val="24"/>
              </w:rPr>
              <w:t>mejoras) Anual (para </w:t>
            </w:r>
            <w:r>
              <w:rPr>
                <w:color w:val="121512"/>
                <w:spacing w:val="-2"/>
                <w:sz w:val="24"/>
              </w:rPr>
              <w:t>actualizaciones mayores)</w:t>
            </w:r>
          </w:p>
        </w:tc>
      </w:tr>
      <w:tr>
        <w:trPr>
          <w:trHeight w:val="2135" w:hRule="atLeast"/>
        </w:trPr>
        <w:tc>
          <w:tcPr>
            <w:tcW w:w="2497" w:type="dxa"/>
          </w:tcPr>
          <w:p>
            <w:pPr>
              <w:pStyle w:val="TableParagraph"/>
              <w:ind w:left="105" w:right="631"/>
              <w:rPr>
                <w:sz w:val="24"/>
              </w:rPr>
            </w:pPr>
            <w:r>
              <w:rPr>
                <w:color w:val="121512"/>
                <w:spacing w:val="-2"/>
                <w:sz w:val="24"/>
              </w:rPr>
              <w:t>Mantenimiento preventivo</w:t>
            </w:r>
          </w:p>
        </w:tc>
        <w:tc>
          <w:tcPr>
            <w:tcW w:w="2206" w:type="dxa"/>
          </w:tcPr>
          <w:p>
            <w:pPr>
              <w:pStyle w:val="TableParagraph"/>
              <w:ind w:left="104" w:right="124"/>
              <w:rPr>
                <w:sz w:val="24"/>
              </w:rPr>
            </w:pPr>
            <w:r>
              <w:rPr>
                <w:color w:val="121512"/>
                <w:spacing w:val="-2"/>
                <w:sz w:val="24"/>
              </w:rPr>
              <w:t>Anticipar problemas mediante revisiones </w:t>
            </w:r>
            <w:r>
              <w:rPr>
                <w:color w:val="121512"/>
                <w:sz w:val="24"/>
              </w:rPr>
              <w:t>proactivas</w:t>
            </w:r>
            <w:r>
              <w:rPr>
                <w:color w:val="121512"/>
                <w:spacing w:val="-17"/>
                <w:sz w:val="24"/>
              </w:rPr>
              <w:t> </w:t>
            </w:r>
            <w:r>
              <w:rPr>
                <w:color w:val="121512"/>
                <w:sz w:val="24"/>
              </w:rPr>
              <w:t>del </w:t>
            </w:r>
            <w:r>
              <w:rPr>
                <w:color w:val="121512"/>
                <w:spacing w:val="-2"/>
                <w:sz w:val="24"/>
              </w:rPr>
              <w:t>código</w:t>
            </w:r>
          </w:p>
        </w:tc>
        <w:tc>
          <w:tcPr>
            <w:tcW w:w="2209" w:type="dxa"/>
          </w:tcPr>
          <w:p>
            <w:pPr>
              <w:pStyle w:val="TableParagraph"/>
              <w:ind w:right="98"/>
              <w:rPr>
                <w:sz w:val="24"/>
              </w:rPr>
            </w:pPr>
            <w:r>
              <w:rPr>
                <w:color w:val="121512"/>
                <w:sz w:val="24"/>
              </w:rPr>
              <w:t>Revisión del código para prevenir</w:t>
            </w:r>
            <w:r>
              <w:rPr>
                <w:color w:val="121512"/>
                <w:spacing w:val="-17"/>
                <w:sz w:val="24"/>
              </w:rPr>
              <w:t> </w:t>
            </w:r>
            <w:r>
              <w:rPr>
                <w:color w:val="121512"/>
                <w:sz w:val="24"/>
              </w:rPr>
              <w:t>fallos</w:t>
            </w:r>
            <w:r>
              <w:rPr>
                <w:color w:val="121512"/>
                <w:spacing w:val="-17"/>
                <w:sz w:val="24"/>
              </w:rPr>
              <w:t> </w:t>
            </w:r>
            <w:r>
              <w:rPr>
                <w:color w:val="121512"/>
                <w:sz w:val="24"/>
              </w:rPr>
              <w:t>a </w:t>
            </w:r>
            <w:r>
              <w:rPr>
                <w:color w:val="121512"/>
                <w:spacing w:val="-2"/>
                <w:sz w:val="24"/>
              </w:rPr>
              <w:t>futuros</w:t>
            </w:r>
          </w:p>
        </w:tc>
        <w:tc>
          <w:tcPr>
            <w:tcW w:w="2588" w:type="dxa"/>
          </w:tcPr>
          <w:p>
            <w:pPr>
              <w:pStyle w:val="TableParagraph"/>
              <w:ind w:right="218"/>
              <w:rPr>
                <w:sz w:val="24"/>
              </w:rPr>
            </w:pPr>
            <w:r>
              <w:rPr>
                <w:color w:val="121512"/>
                <w:sz w:val="24"/>
              </w:rPr>
              <w:t>Mensual (para revisiones</w:t>
            </w:r>
            <w:r>
              <w:rPr>
                <w:color w:val="121512"/>
                <w:spacing w:val="-17"/>
                <w:sz w:val="24"/>
              </w:rPr>
              <w:t> </w:t>
            </w:r>
            <w:r>
              <w:rPr>
                <w:color w:val="121512"/>
                <w:sz w:val="24"/>
              </w:rPr>
              <w:t>de</w:t>
            </w:r>
            <w:r>
              <w:rPr>
                <w:color w:val="121512"/>
                <w:spacing w:val="-17"/>
                <w:sz w:val="24"/>
              </w:rPr>
              <w:t> </w:t>
            </w:r>
            <w:r>
              <w:rPr>
                <w:color w:val="121512"/>
                <w:sz w:val="24"/>
              </w:rPr>
              <w:t>código y pruebas)</w:t>
            </w:r>
          </w:p>
        </w:tc>
      </w:tr>
      <w:tr>
        <w:trPr>
          <w:trHeight w:val="1860" w:hRule="atLeast"/>
        </w:trPr>
        <w:tc>
          <w:tcPr>
            <w:tcW w:w="2497" w:type="dxa"/>
          </w:tcPr>
          <w:p>
            <w:pPr>
              <w:pStyle w:val="TableParagraph"/>
              <w:ind w:left="105" w:right="631"/>
              <w:rPr>
                <w:sz w:val="24"/>
              </w:rPr>
            </w:pPr>
            <w:r>
              <w:rPr>
                <w:color w:val="121512"/>
                <w:sz w:val="24"/>
              </w:rPr>
              <w:t>Actualización</w:t>
            </w:r>
            <w:r>
              <w:rPr>
                <w:color w:val="121512"/>
                <w:spacing w:val="-17"/>
                <w:sz w:val="24"/>
              </w:rPr>
              <w:t> </w:t>
            </w:r>
            <w:r>
              <w:rPr>
                <w:color w:val="121512"/>
                <w:sz w:val="24"/>
              </w:rPr>
              <w:t>de </w:t>
            </w:r>
            <w:r>
              <w:rPr>
                <w:color w:val="121512"/>
                <w:spacing w:val="-2"/>
                <w:sz w:val="24"/>
              </w:rPr>
              <w:t>contenido</w:t>
            </w:r>
          </w:p>
        </w:tc>
        <w:tc>
          <w:tcPr>
            <w:tcW w:w="2206" w:type="dxa"/>
          </w:tcPr>
          <w:p>
            <w:pPr>
              <w:pStyle w:val="TableParagraph"/>
              <w:ind w:left="104" w:right="124"/>
              <w:rPr>
                <w:sz w:val="24"/>
              </w:rPr>
            </w:pPr>
            <w:r>
              <w:rPr>
                <w:color w:val="121512"/>
                <w:sz w:val="24"/>
              </w:rPr>
              <w:t>Lanzamiento</w:t>
            </w:r>
            <w:r>
              <w:rPr>
                <w:color w:val="121512"/>
                <w:spacing w:val="-17"/>
                <w:sz w:val="24"/>
              </w:rPr>
              <w:t> </w:t>
            </w:r>
            <w:r>
              <w:rPr>
                <w:color w:val="121512"/>
                <w:sz w:val="24"/>
              </w:rPr>
              <w:t>de contenido para mantener el interés de los </w:t>
            </w:r>
            <w:r>
              <w:rPr>
                <w:color w:val="121512"/>
                <w:spacing w:val="-2"/>
                <w:sz w:val="24"/>
              </w:rPr>
              <w:t>jugadores</w:t>
            </w:r>
          </w:p>
        </w:tc>
        <w:tc>
          <w:tcPr>
            <w:tcW w:w="220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21512"/>
                <w:sz w:val="24"/>
              </w:rPr>
              <w:t>Nuevas</w:t>
            </w:r>
            <w:r>
              <w:rPr>
                <w:color w:val="121512"/>
                <w:spacing w:val="-17"/>
                <w:sz w:val="24"/>
              </w:rPr>
              <w:t> </w:t>
            </w:r>
            <w:r>
              <w:rPr>
                <w:color w:val="121512"/>
                <w:sz w:val="24"/>
              </w:rPr>
              <w:t>desafíos, personajes</w:t>
            </w:r>
            <w:r>
              <w:rPr>
                <w:color w:val="121512"/>
                <w:spacing w:val="-3"/>
                <w:sz w:val="24"/>
              </w:rPr>
              <w:t> </w:t>
            </w:r>
            <w:r>
              <w:rPr>
                <w:color w:val="121512"/>
                <w:sz w:val="24"/>
              </w:rPr>
              <w:t>y</w:t>
            </w:r>
            <w:r>
              <w:rPr>
                <w:color w:val="121512"/>
                <w:spacing w:val="-4"/>
                <w:sz w:val="24"/>
              </w:rPr>
              <w:t> etc.</w:t>
            </w:r>
          </w:p>
        </w:tc>
        <w:tc>
          <w:tcPr>
            <w:tcW w:w="2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21512"/>
                <w:sz w:val="24"/>
              </w:rPr>
              <w:t>Trimestral</w:t>
            </w:r>
            <w:r>
              <w:rPr>
                <w:color w:val="121512"/>
                <w:spacing w:val="-13"/>
                <w:sz w:val="24"/>
              </w:rPr>
              <w:t> </w:t>
            </w:r>
            <w:r>
              <w:rPr>
                <w:color w:val="121512"/>
                <w:sz w:val="24"/>
              </w:rPr>
              <w:t>o</w:t>
            </w:r>
            <w:r>
              <w:rPr>
                <w:color w:val="121512"/>
                <w:spacing w:val="-13"/>
                <w:sz w:val="24"/>
              </w:rPr>
              <w:t> </w:t>
            </w:r>
            <w:r>
              <w:rPr>
                <w:color w:val="121512"/>
                <w:sz w:val="24"/>
              </w:rPr>
              <w:t>según</w:t>
            </w:r>
            <w:r>
              <w:rPr>
                <w:color w:val="121512"/>
                <w:spacing w:val="-13"/>
                <w:sz w:val="24"/>
              </w:rPr>
              <w:t> </w:t>
            </w:r>
            <w:r>
              <w:rPr>
                <w:color w:val="121512"/>
                <w:sz w:val="24"/>
              </w:rPr>
              <w:t>el plan de marketing</w:t>
            </w:r>
          </w:p>
        </w:tc>
      </w:tr>
      <w:tr>
        <w:trPr>
          <w:trHeight w:val="1307" w:hRule="atLeast"/>
        </w:trPr>
        <w:tc>
          <w:tcPr>
            <w:tcW w:w="2497" w:type="dxa"/>
          </w:tcPr>
          <w:p>
            <w:pPr>
              <w:pStyle w:val="TableParagraph"/>
              <w:ind w:left="105" w:right="631"/>
              <w:rPr>
                <w:sz w:val="24"/>
              </w:rPr>
            </w:pPr>
            <w:r>
              <w:rPr>
                <w:color w:val="121512"/>
                <w:sz w:val="24"/>
              </w:rPr>
              <w:t>Monitorización</w:t>
            </w:r>
            <w:r>
              <w:rPr>
                <w:color w:val="121512"/>
                <w:spacing w:val="-17"/>
                <w:sz w:val="24"/>
              </w:rPr>
              <w:t> </w:t>
            </w:r>
            <w:r>
              <w:rPr>
                <w:color w:val="121512"/>
                <w:sz w:val="24"/>
              </w:rPr>
              <w:t>y </w:t>
            </w:r>
            <w:r>
              <w:rPr>
                <w:color w:val="121512"/>
                <w:spacing w:val="-2"/>
                <w:sz w:val="24"/>
              </w:rPr>
              <w:t>reportes</w:t>
            </w:r>
          </w:p>
        </w:tc>
        <w:tc>
          <w:tcPr>
            <w:tcW w:w="2206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color w:val="121512"/>
                <w:sz w:val="24"/>
              </w:rPr>
              <w:t>Monitorear el rendimiento</w:t>
            </w:r>
            <w:r>
              <w:rPr>
                <w:color w:val="121512"/>
                <w:spacing w:val="-17"/>
                <w:sz w:val="24"/>
              </w:rPr>
              <w:t> </w:t>
            </w:r>
            <w:r>
              <w:rPr>
                <w:color w:val="121512"/>
                <w:sz w:val="24"/>
              </w:rPr>
              <w:t>del </w:t>
            </w:r>
            <w:r>
              <w:rPr>
                <w:color w:val="121512"/>
                <w:spacing w:val="-2"/>
                <w:sz w:val="24"/>
              </w:rPr>
              <w:t>juego</w:t>
            </w:r>
          </w:p>
        </w:tc>
        <w:tc>
          <w:tcPr>
            <w:tcW w:w="220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21512"/>
                <w:sz w:val="24"/>
              </w:rPr>
              <w:t>Monitoreo</w:t>
            </w:r>
            <w:r>
              <w:rPr>
                <w:color w:val="121512"/>
                <w:spacing w:val="-17"/>
                <w:sz w:val="24"/>
              </w:rPr>
              <w:t> </w:t>
            </w:r>
            <w:r>
              <w:rPr>
                <w:color w:val="121512"/>
                <w:sz w:val="24"/>
              </w:rPr>
              <w:t>de </w:t>
            </w:r>
            <w:r>
              <w:rPr>
                <w:color w:val="121512"/>
                <w:spacing w:val="-2"/>
                <w:sz w:val="24"/>
              </w:rPr>
              <w:t>servidores</w:t>
            </w:r>
          </w:p>
        </w:tc>
        <w:tc>
          <w:tcPr>
            <w:tcW w:w="2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21512"/>
                <w:sz w:val="24"/>
              </w:rPr>
              <w:t>Mensual</w:t>
            </w:r>
            <w:r>
              <w:rPr>
                <w:color w:val="121512"/>
                <w:spacing w:val="-17"/>
                <w:sz w:val="24"/>
              </w:rPr>
              <w:t> </w:t>
            </w:r>
            <w:r>
              <w:rPr>
                <w:color w:val="121512"/>
                <w:sz w:val="24"/>
              </w:rPr>
              <w:t>(reportes</w:t>
            </w:r>
            <w:r>
              <w:rPr>
                <w:color w:val="121512"/>
                <w:spacing w:val="-17"/>
                <w:sz w:val="24"/>
              </w:rPr>
              <w:t> </w:t>
            </w:r>
            <w:r>
              <w:rPr>
                <w:color w:val="121512"/>
                <w:sz w:val="24"/>
              </w:rPr>
              <w:t>de uso y rendimiento)</w:t>
            </w:r>
          </w:p>
        </w:tc>
      </w:tr>
    </w:tbl>
    <w:sectPr>
      <w:type w:val="continuous"/>
      <w:pgSz w:w="12240" w:h="15840"/>
      <w:pgMar w:top="158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40"/>
      <w:ind w:left="106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Manuel Gutierrez Fierro</dc:creator>
  <dcterms:created xsi:type="dcterms:W3CDTF">2025-11-27T20:12:32Z</dcterms:created>
  <dcterms:modified xsi:type="dcterms:W3CDTF">2025-11-27T20:12:32Z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2025-11-27T00:00:00Z</vt:filetime>
  </property>
  <property fmtid="{D5CDD505-2E9C-101B-9397-08002B2CF9AE}" pid="5" name="Producer">
    <vt:lpwstr>Microsoft® Word para Microsoft 365</vt:lpwstr>
  </property>
</Properties>
</file>