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Warren County Needs Assessment — August 2026</w:t>
      </w:r>
    </w:p>
    <w:p>
      <w:r>
        <w:rPr>
          <w:i/>
          <w:color w:val="1E6B57"/>
          <w:sz w:val="17"/>
        </w:rPr>
        <w:t>County and statewide figures below are published U.S. Census Bureau values; the census-tract concentration analysis is drawn from ACS 5-year tract tables; the food-insecurity figure is from Feeding America's Map the Meal Gap. ALICE, provider-ratio, and chronic-disease indicators are pending source connection and are listed at the end — not estimated.</w:t>
      </w:r>
    </w:p>
    <w:p>
      <w:r>
        <w:rPr>
          <w:b/>
        </w:rPr>
        <w:t>Poverty, income, and the case for concentrated need</w:t>
      </w:r>
    </w:p>
    <w:p>
      <w:pPr>
        <w:spacing w:after="200"/>
      </w:pPr>
      <w:r>
        <w:t>The communities Zufall Health serves within Warren County, New Jersey include areas of concentrated poverty and constrained access to care. Warren County's median household income is $100,869, near the statewide median of $103,556, and 8.2% of residents live in poverty, below the New Jersey rate of 9.2%.</w:t>
      </w:r>
      <w:r>
        <w:rPr>
          <w:vertAlign w:val="superscript"/>
        </w:rPr>
        <w:t>1</w:t>
      </w:r>
      <w:r>
        <w:t xml:space="preserve"> County averages, however, flatten the neighborhoods where need concentrates — which a census-tract view brings into focus.</w:t>
      </w:r>
    </w:p>
    <w:p>
      <w:r>
        <w:rPr>
          <w:b/>
        </w:rPr>
        <w:t>Where the need concentrates: a census-tract view</w:t>
      </w:r>
    </w:p>
    <w:p>
      <w:pPr>
        <w:spacing w:after="200"/>
      </w:pPr>
      <w:r>
        <w:t>Warren County contains 23 census tracts. Measured against the seven-county service-area average, 4 of those tracts carry an above-average uninsured rate and 8 carry an above-average share of residents below 200% of the federal poverty level.</w:t>
      </w:r>
      <w:r>
        <w:rPr>
          <w:vertAlign w:val="superscript"/>
        </w:rPr>
        <w:t>2</w:t>
      </w:r>
      <w:r>
        <w:t xml:space="preserve"> 20% of the county's residents — roughly 22,538 people — live in tracts where at least one in four residents falls below 200% of the federal poverty level. The sharpest need sits in and around Census Tract 309 (GEOID 34041030900): there, 7% of residents are uninsured and 53% live below 200% of the federal poverty level, and 3% of households are limited-English-speaking — a concentration that county-level averages hide entirely. Across the seven counties Zufall serves, Warren carries the third-highest composite need. This is precisely the sub-county geography a grant application must document, and it is where Zufall's sites and outreach can be targeted for greatest effect.</w:t>
      </w:r>
    </w:p>
    <w:p>
      <w:r>
        <w:rPr>
          <w:b/>
        </w:rPr>
        <w:t>Barriers to care: insurance and providers</w:t>
      </w:r>
    </w:p>
    <w:p>
      <w:pPr>
        <w:spacing w:after="200"/>
      </w:pPr>
      <w:r>
        <w:t>Access to coverage is a clear barrier. 6.8% of Warren County residents under age 65 are uninsured, below the statewide rate of 9.1%.</w:t>
      </w:r>
      <w:r>
        <w:rPr>
          <w:vertAlign w:val="superscript"/>
        </w:rPr>
        <w:t>1</w:t>
      </w:r>
      <w:r>
        <w:t xml:space="preserve"> Provider-supply measures — primary-care, dental, and mental-health provider-to-population ratios — are pending source connection (see below) and are expected to reinforce this access gap.</w:t>
      </w:r>
    </w:p>
    <w:p>
      <w:r>
        <w:rPr>
          <w:b/>
        </w:rPr>
        <w:t>Food insecurity</w:t>
      </w:r>
    </w:p>
    <w:p>
      <w:pPr>
        <w:spacing w:after="200"/>
      </w:pPr>
      <w:r>
        <w:t>An estimated 11.0% of Warren County residents — about 12,160 people — live in food-insecure households, and 13.1% of the county's children face food insecurity.</w:t>
      </w:r>
      <w:r>
        <w:rPr>
          <w:vertAlign w:val="superscript"/>
        </w:rPr>
        <w:t>3</w:t>
      </w:r>
      <w:r>
        <w:t xml:space="preserve"> Food insecurity compounds the barriers documented here: it tracks closely with low income and uninsurance and drives demand for the wraparound support Zufall's sites provide.</w:t>
      </w:r>
    </w:p>
    <w:p>
      <w:r>
        <w:rPr>
          <w:b/>
        </w:rPr>
        <w:t>Demographics and language access</w:t>
      </w:r>
    </w:p>
    <w:p>
      <w:pPr>
        <w:spacing w:after="200"/>
      </w:pPr>
      <w:r>
        <w:t>Warren County is home to 112,953 residents. 15.5% identify as Hispanic or Latino and 8.6% as Black or African American, compared with 24.0% and 15.8% statewide.</w:t>
      </w:r>
      <w:r>
        <w:rPr>
          <w:vertAlign w:val="superscript"/>
        </w:rPr>
        <w:t>1</w:t>
      </w:r>
      <w:r>
        <w:t xml:space="preserve"> Language access is a substantial need: 15.4% of residents age 5 and over speak a language other than English at home, below the New Jersey figure of 33.1%.</w:t>
      </w:r>
      <w:r>
        <w:rPr>
          <w:vertAlign w:val="superscript"/>
        </w:rPr>
        <w:t>1</w:t>
      </w:r>
      <w:r>
        <w:t xml:space="preserve"> Adults age 65 and over make up 21.6% of the population (New Jersey: 18.5%).</w:t>
      </w:r>
      <w:r>
        <w:rPr>
          <w:vertAlign w:val="superscript"/>
        </w:rPr>
        <w:t>1</w:t>
      </w:r>
      <w:r/>
    </w:p>
    <w:p>
      <w:r>
        <w:rPr>
          <w:b/>
        </w:rPr>
        <w:t>Highest-need census tracts (ACS 5-year)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Census tract (GEOID)</w:t>
            </w:r>
          </w:p>
        </w:tc>
        <w:tc>
          <w:tcPr>
            <w:tcW w:type="dxa" w:w="1872"/>
          </w:tcPr>
          <w:p>
            <w:r/>
            <w:r>
              <w:rPr>
                <w:b/>
                <w:sz w:val="18"/>
              </w:rPr>
              <w:t>Uninsured</w:t>
            </w:r>
          </w:p>
        </w:tc>
        <w:tc>
          <w:tcPr>
            <w:tcW w:type="dxa" w:w="1872"/>
          </w:tcPr>
          <w:p>
            <w:r/>
            <w:r>
              <w:rPr>
                <w:b/>
                <w:sz w:val="18"/>
              </w:rPr>
              <w:t>Below 200% FPL</w:t>
            </w:r>
          </w:p>
        </w:tc>
        <w:tc>
          <w:tcPr>
            <w:tcW w:type="dxa" w:w="1872"/>
          </w:tcPr>
          <w:p>
            <w:r/>
            <w:r>
              <w:rPr>
                <w:b/>
                <w:sz w:val="18"/>
              </w:rPr>
              <w:t>Lim.-Eng. HH</w:t>
            </w:r>
          </w:p>
        </w:tc>
        <w:tc>
          <w:tcPr>
            <w:tcW w:type="dxa" w:w="1872"/>
          </w:tcPr>
          <w:p>
            <w:r/>
            <w:r>
              <w:rPr>
                <w:b/>
                <w:sz w:val="18"/>
              </w:rPr>
              <w:t>Need score</w:t>
            </w:r>
          </w:p>
        </w:tc>
      </w:tr>
      <w:tr>
        <w:tc>
          <w:tcPr>
            <w:tcW w:type="dxa" w:w="1872"/>
          </w:tcPr>
          <w:p>
            <w:r/>
            <w:r>
              <w:rPr>
                <w:sz w:val="18"/>
              </w:rPr>
              <w:t>34041030900</w:t>
            </w:r>
          </w:p>
        </w:tc>
        <w:tc>
          <w:tcPr>
            <w:tcW w:type="dxa" w:w="1872"/>
          </w:tcPr>
          <w:p>
            <w:r/>
            <w:r>
              <w:rPr>
                <w:sz w:val="18"/>
              </w:rPr>
              <w:t>7%</w:t>
            </w:r>
          </w:p>
        </w:tc>
        <w:tc>
          <w:tcPr>
            <w:tcW w:type="dxa" w:w="1872"/>
          </w:tcPr>
          <w:p>
            <w:r/>
            <w:r>
              <w:rPr>
                <w:sz w:val="18"/>
              </w:rPr>
              <w:t>53%</w:t>
            </w:r>
          </w:p>
        </w:tc>
        <w:tc>
          <w:tcPr>
            <w:tcW w:type="dxa" w:w="1872"/>
          </w:tcPr>
          <w:p>
            <w:r/>
            <w:r>
              <w:rPr>
                <w:sz w:val="18"/>
              </w:rPr>
              <w:t>3%</w:t>
            </w:r>
          </w:p>
        </w:tc>
        <w:tc>
          <w:tcPr>
            <w:tcW w:type="dxa" w:w="1872"/>
          </w:tcPr>
          <w:p>
            <w:r/>
            <w:r>
              <w:rPr>
                <w:sz w:val="18"/>
              </w:rPr>
              <w:t>28</w:t>
            </w:r>
          </w:p>
        </w:tc>
      </w:tr>
      <w:tr>
        <w:tc>
          <w:tcPr>
            <w:tcW w:type="dxa" w:w="1872"/>
          </w:tcPr>
          <w:p>
            <w:r/>
            <w:r>
              <w:rPr>
                <w:sz w:val="18"/>
              </w:rPr>
              <w:t>34041030600</w:t>
            </w:r>
          </w:p>
        </w:tc>
        <w:tc>
          <w:tcPr>
            <w:tcW w:type="dxa" w:w="1872"/>
          </w:tcPr>
          <w:p>
            <w:r/>
            <w:r>
              <w:rPr>
                <w:sz w:val="18"/>
              </w:rPr>
              <w:t>6%</w:t>
            </w:r>
          </w:p>
        </w:tc>
        <w:tc>
          <w:tcPr>
            <w:tcW w:type="dxa" w:w="1872"/>
          </w:tcPr>
          <w:p>
            <w:r/>
            <w:r>
              <w:rPr>
                <w:sz w:val="18"/>
              </w:rPr>
              <w:t>27%</w:t>
            </w:r>
          </w:p>
        </w:tc>
        <w:tc>
          <w:tcPr>
            <w:tcW w:type="dxa" w:w="1872"/>
          </w:tcPr>
          <w:p>
            <w:r/>
            <w:r>
              <w:rPr>
                <w:sz w:val="18"/>
              </w:rPr>
              <w:t>2%</w:t>
            </w:r>
          </w:p>
        </w:tc>
        <w:tc>
          <w:tcPr>
            <w:tcW w:type="dxa" w:w="1872"/>
          </w:tcPr>
          <w:p>
            <w:r/>
            <w:r>
              <w:rPr>
                <w:sz w:val="18"/>
              </w:rPr>
              <w:t>16</w:t>
            </w:r>
          </w:p>
        </w:tc>
      </w:tr>
      <w:tr>
        <w:tc>
          <w:tcPr>
            <w:tcW w:type="dxa" w:w="1872"/>
          </w:tcPr>
          <w:p>
            <w:r/>
            <w:r>
              <w:rPr>
                <w:sz w:val="18"/>
              </w:rPr>
              <w:t>34041030700</w:t>
            </w:r>
          </w:p>
        </w:tc>
        <w:tc>
          <w:tcPr>
            <w:tcW w:type="dxa" w:w="1872"/>
          </w:tcPr>
          <w:p>
            <w:r/>
            <w:r>
              <w:rPr>
                <w:sz w:val="18"/>
              </w:rPr>
              <w:t>9%</w:t>
            </w:r>
          </w:p>
        </w:tc>
        <w:tc>
          <w:tcPr>
            <w:tcW w:type="dxa" w:w="1872"/>
          </w:tcPr>
          <w:p>
            <w:r/>
            <w:r>
              <w:rPr>
                <w:sz w:val="18"/>
              </w:rPr>
              <w:t>30%</w:t>
            </w:r>
          </w:p>
        </w:tc>
        <w:tc>
          <w:tcPr>
            <w:tcW w:type="dxa" w:w="1872"/>
          </w:tcPr>
          <w:p>
            <w:r/>
            <w:r>
              <w:rPr>
                <w:sz w:val="18"/>
              </w:rPr>
              <w:t>0%</w:t>
            </w:r>
          </w:p>
        </w:tc>
        <w:tc>
          <w:tcPr>
            <w:tcW w:type="dxa" w:w="1872"/>
          </w:tcPr>
          <w:p>
            <w:r/>
            <w:r>
              <w:rPr>
                <w:sz w:val="18"/>
              </w:rPr>
              <w:t>15</w:t>
            </w:r>
          </w:p>
        </w:tc>
      </w:tr>
      <w:tr>
        <w:tc>
          <w:tcPr>
            <w:tcW w:type="dxa" w:w="1872"/>
          </w:tcPr>
          <w:p>
            <w:r/>
            <w:r>
              <w:rPr>
                <w:sz w:val="18"/>
              </w:rPr>
              <w:t>34041031601</w:t>
            </w:r>
          </w:p>
        </w:tc>
        <w:tc>
          <w:tcPr>
            <w:tcW w:type="dxa" w:w="1872"/>
          </w:tcPr>
          <w:p>
            <w:r/>
            <w:r>
              <w:rPr>
                <w:sz w:val="18"/>
              </w:rPr>
              <w:t>3%</w:t>
            </w:r>
          </w:p>
        </w:tc>
        <w:tc>
          <w:tcPr>
            <w:tcW w:type="dxa" w:w="1872"/>
          </w:tcPr>
          <w:p>
            <w:r/>
            <w:r>
              <w:rPr>
                <w:sz w:val="18"/>
              </w:rPr>
              <w:t>21%</w:t>
            </w:r>
          </w:p>
        </w:tc>
        <w:tc>
          <w:tcPr>
            <w:tcW w:type="dxa" w:w="1872"/>
          </w:tcPr>
          <w:p>
            <w:r/>
            <w:r>
              <w:rPr>
                <w:sz w:val="18"/>
              </w:rPr>
              <w:t>0%</w:t>
            </w:r>
          </w:p>
        </w:tc>
        <w:tc>
          <w:tcPr>
            <w:tcW w:type="dxa" w:w="1872"/>
          </w:tcPr>
          <w:p>
            <w:r/>
            <w:r>
              <w:rPr>
                <w:sz w:val="18"/>
              </w:rPr>
              <w:t>15</w:t>
            </w:r>
          </w:p>
        </w:tc>
      </w:tr>
      <w:tr>
        <w:tc>
          <w:tcPr>
            <w:tcW w:type="dxa" w:w="1872"/>
          </w:tcPr>
          <w:p>
            <w:r/>
            <w:r>
              <w:rPr>
                <w:sz w:val="18"/>
              </w:rPr>
              <w:t>34041030800</w:t>
            </w:r>
          </w:p>
        </w:tc>
        <w:tc>
          <w:tcPr>
            <w:tcW w:type="dxa" w:w="1872"/>
          </w:tcPr>
          <w:p>
            <w:r/>
            <w:r>
              <w:rPr>
                <w:sz w:val="18"/>
              </w:rPr>
              <w:t>2%</w:t>
            </w:r>
          </w:p>
        </w:tc>
        <w:tc>
          <w:tcPr>
            <w:tcW w:type="dxa" w:w="1872"/>
          </w:tcPr>
          <w:p>
            <w:r/>
            <w:r>
              <w:rPr>
                <w:sz w:val="18"/>
              </w:rPr>
              <w:t>32%</w:t>
            </w:r>
          </w:p>
        </w:tc>
        <w:tc>
          <w:tcPr>
            <w:tcW w:type="dxa" w:w="1872"/>
          </w:tcPr>
          <w:p>
            <w:r/>
            <w:r>
              <w:rPr>
                <w:sz w:val="18"/>
              </w:rPr>
              <w:t>1%</w:t>
            </w:r>
          </w:p>
        </w:tc>
        <w:tc>
          <w:tcPr>
            <w:tcW w:type="dxa" w:w="1872"/>
          </w:tcPr>
          <w:p>
            <w:r/>
            <w:r>
              <w:rPr>
                <w:sz w:val="18"/>
              </w:rPr>
              <w:t>15</w:t>
            </w:r>
          </w:p>
        </w:tc>
      </w:tr>
    </w:tbl>
    <w:p>
      <w:r>
        <w:rPr>
          <w:i/>
          <w:sz w:val="16"/>
        </w:rPr>
        <w:t>Group-quarters tracts (e.g., dormitories or institutional populations) are excluded so the ranking reflects residential neighborhoods.</w:t>
      </w:r>
    </w:p>
    <w:p>
      <w:r>
        <w:rPr>
          <w:b/>
        </w:rPr>
        <w:t>Indicators pending source connection</w:t>
      </w:r>
    </w:p>
    <w:p>
      <w:pPr>
        <w:pStyle w:val="ListBullet"/>
      </w:pPr>
      <w:r>
        <w:rPr>
          <w:sz w:val="20"/>
        </w:rPr>
        <w:t xml:space="preserve">ALICE (Asset Limited, Income Constrained, Employed) household rate, county and municipal — </w:t>
      </w:r>
      <w:r>
        <w:rPr>
          <w:i/>
          <w:sz w:val="20"/>
        </w:rPr>
        <w:t>United Way United For ALICE — New Jersey</w:t>
      </w:r>
    </w:p>
    <w:p>
      <w:pPr>
        <w:pStyle w:val="ListBullet"/>
      </w:pPr>
      <w:r>
        <w:rPr>
          <w:sz w:val="20"/>
        </w:rPr>
        <w:t xml:space="preserve">Chronic-disease prevalence, prenatal care, and infant mortality (including racial disparity) — </w:t>
      </w:r>
      <w:r>
        <w:rPr>
          <w:i/>
          <w:sz w:val="20"/>
        </w:rPr>
        <w:t>New Jersey State Health Assessment Data (NJSHAD)</w:t>
      </w:r>
    </w:p>
    <w:p>
      <w:pPr>
        <w:pStyle w:val="ListBullet"/>
      </w:pPr>
      <w:r>
        <w:rPr>
          <w:sz w:val="20"/>
        </w:rPr>
        <w:t xml:space="preserve">Primary-care, dental, and mental-health provider-to-population ratios; severe housing problems — </w:t>
      </w:r>
      <w:r>
        <w:rPr>
          <w:i/>
          <w:sz w:val="20"/>
        </w:rPr>
        <w:t>County Health Rankings &amp; Roadmaps (Univ. of Wisconsin)</w:t>
      </w:r>
    </w:p>
    <w:p>
      <w:r>
        <w:rPr>
          <w:b/>
        </w:rPr>
        <w:t>References</w:t>
      </w:r>
    </w:p>
    <w:p>
      <w:r>
        <w:rPr>
          <w:sz w:val="17"/>
        </w:rPr>
        <w:t>1. U.S. Census Bureau QuickFacts. Warren County, New Jersey and New Jersey. 2020-2024 American Community Survey 5-Year Estimates and 2025 Population Estimates. Accessed August 30, 2026.</w:t>
      </w:r>
    </w:p>
    <w:p>
      <w:r>
        <w:rPr>
          <w:sz w:val="17"/>
        </w:rPr>
        <w:t>2. U.S. Census Bureau, American Community Survey 2020-2024 5-Year Estimates, census-tract tables B27001 (health insurance), C17002 (ratio of income to poverty), B17001 (poverty), C16002 (household language), B22003 (SNAP receipt), retrieved via the Needs Atlas data pipeline and aggregated to the tract level. Accessed August 30, 2026.</w:t>
      </w:r>
    </w:p>
    <w:p>
      <w:r>
        <w:rPr>
          <w:sz w:val="17"/>
        </w:rPr>
        <w:t>3. Feeding America. Map the Meal Gap — 2024 county food-insecurity estimates. Retrieved from map.feedingamerica.org. Accessed August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