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Somerset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Somerset County, New Jersey include areas of concentrated poverty and constrained access to care. Somerset County's median household income is $140,374, above the statewide median of $103,556, and 5.8%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Somerset County contains 74 census tracts. Measured against the seven-county service-area average, 19 of those tracts carry an above-average uninsured rate and 13 carry an above-average share of residents below 200% of the federal poverty level.</w:t>
      </w:r>
      <w:r>
        <w:rPr>
          <w:vertAlign w:val="superscript"/>
        </w:rPr>
        <w:t>2</w:t>
      </w:r>
      <w:r>
        <w:t xml:space="preserve"> 12% of the county's residents — roughly 42,329 people — live in tracts where at least one in four residents falls below 200% of the federal poverty level. The sharpest need sits in and around Census Tract 517 (GEOID 34035051700): there, 27% of residents are uninsured and 48% live below 200% of the federal poverty level, and 18% of households are limited-English-speaking — a concentration that county-level averages hide entirely. Across the seven counties Zufall serves, Somerset carries the fourth-highest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6.4% of Somerset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Somerset County is home to 356,486 residents. 18.9% identify as Hispanic or Latino and 11.3% as Black or African American, compared with 24.0% and 15.8% statewide.</w:t>
      </w:r>
      <w:r>
        <w:rPr>
          <w:vertAlign w:val="superscript"/>
        </w:rPr>
        <w:t>1</w:t>
      </w:r>
      <w:r>
        <w:t xml:space="preserve"> Language access is a substantial need: 34.7% of residents age 5 and over speak a language other than English at home, above the New Jersey figure of 33.1%.</w:t>
      </w:r>
      <w:r>
        <w:rPr>
          <w:vertAlign w:val="superscript"/>
        </w:rPr>
        <w:t>1</w:t>
      </w:r>
      <w:r>
        <w:t xml:space="preserve"> Adults age 65 and over make up 18.9%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34035051700</w:t>
            </w:r>
          </w:p>
        </w:tc>
        <w:tc>
          <w:tcPr>
            <w:tcW w:type="dxa" w:w="1872"/>
          </w:tcPr>
          <w:p>
            <w:r/>
            <w:r>
              <w:rPr>
                <w:sz w:val="18"/>
              </w:rPr>
              <w:t>27%</w:t>
            </w:r>
          </w:p>
        </w:tc>
        <w:tc>
          <w:tcPr>
            <w:tcW w:type="dxa" w:w="1872"/>
          </w:tcPr>
          <w:p>
            <w:r/>
            <w:r>
              <w:rPr>
                <w:sz w:val="18"/>
              </w:rPr>
              <w:t>48%</w:t>
            </w:r>
          </w:p>
        </w:tc>
        <w:tc>
          <w:tcPr>
            <w:tcW w:type="dxa" w:w="1872"/>
          </w:tcPr>
          <w:p>
            <w:r/>
            <w:r>
              <w:rPr>
                <w:sz w:val="18"/>
              </w:rPr>
              <w:t>18%</w:t>
            </w:r>
          </w:p>
        </w:tc>
        <w:tc>
          <w:tcPr>
            <w:tcW w:type="dxa" w:w="1872"/>
          </w:tcPr>
          <w:p>
            <w:r/>
            <w:r>
              <w:rPr>
                <w:sz w:val="18"/>
              </w:rPr>
              <w:t>28</w:t>
            </w:r>
          </w:p>
        </w:tc>
      </w:tr>
      <w:tr>
        <w:tc>
          <w:tcPr>
            <w:tcW w:type="dxa" w:w="1872"/>
          </w:tcPr>
          <w:p>
            <w:r/>
            <w:r>
              <w:rPr>
                <w:sz w:val="18"/>
              </w:rPr>
              <w:t>34035052002</w:t>
            </w:r>
          </w:p>
        </w:tc>
        <w:tc>
          <w:tcPr>
            <w:tcW w:type="dxa" w:w="1872"/>
          </w:tcPr>
          <w:p>
            <w:r/>
            <w:r>
              <w:rPr>
                <w:sz w:val="18"/>
              </w:rPr>
              <w:t>20%</w:t>
            </w:r>
          </w:p>
        </w:tc>
        <w:tc>
          <w:tcPr>
            <w:tcW w:type="dxa" w:w="1872"/>
          </w:tcPr>
          <w:p>
            <w:r/>
            <w:r>
              <w:rPr>
                <w:sz w:val="18"/>
              </w:rPr>
              <w:t>34%</w:t>
            </w:r>
          </w:p>
        </w:tc>
        <w:tc>
          <w:tcPr>
            <w:tcW w:type="dxa" w:w="1872"/>
          </w:tcPr>
          <w:p>
            <w:r/>
            <w:r>
              <w:rPr>
                <w:sz w:val="18"/>
              </w:rPr>
              <w:t>21%</w:t>
            </w:r>
          </w:p>
        </w:tc>
        <w:tc>
          <w:tcPr>
            <w:tcW w:type="dxa" w:w="1872"/>
          </w:tcPr>
          <w:p>
            <w:r/>
            <w:r>
              <w:rPr>
                <w:sz w:val="18"/>
              </w:rPr>
              <w:t>26</w:t>
            </w:r>
          </w:p>
        </w:tc>
      </w:tr>
      <w:tr>
        <w:tc>
          <w:tcPr>
            <w:tcW w:type="dxa" w:w="1872"/>
          </w:tcPr>
          <w:p>
            <w:r/>
            <w:r>
              <w:rPr>
                <w:sz w:val="18"/>
              </w:rPr>
              <w:t>34035051100</w:t>
            </w:r>
          </w:p>
        </w:tc>
        <w:tc>
          <w:tcPr>
            <w:tcW w:type="dxa" w:w="1872"/>
          </w:tcPr>
          <w:p>
            <w:r/>
            <w:r>
              <w:rPr>
                <w:sz w:val="18"/>
              </w:rPr>
              <w:t>23%</w:t>
            </w:r>
          </w:p>
        </w:tc>
        <w:tc>
          <w:tcPr>
            <w:tcW w:type="dxa" w:w="1872"/>
          </w:tcPr>
          <w:p>
            <w:r/>
            <w:r>
              <w:rPr>
                <w:sz w:val="18"/>
              </w:rPr>
              <w:t>33%</w:t>
            </w:r>
          </w:p>
        </w:tc>
        <w:tc>
          <w:tcPr>
            <w:tcW w:type="dxa" w:w="1872"/>
          </w:tcPr>
          <w:p>
            <w:r/>
            <w:r>
              <w:rPr>
                <w:sz w:val="18"/>
              </w:rPr>
              <w:t>20%</w:t>
            </w:r>
          </w:p>
        </w:tc>
        <w:tc>
          <w:tcPr>
            <w:tcW w:type="dxa" w:w="1872"/>
          </w:tcPr>
          <w:p>
            <w:r/>
            <w:r>
              <w:rPr>
                <w:sz w:val="18"/>
              </w:rPr>
              <w:t>24</w:t>
            </w:r>
          </w:p>
        </w:tc>
      </w:tr>
      <w:tr>
        <w:tc>
          <w:tcPr>
            <w:tcW w:type="dxa" w:w="1872"/>
          </w:tcPr>
          <w:p>
            <w:r/>
            <w:r>
              <w:rPr>
                <w:sz w:val="18"/>
              </w:rPr>
              <w:t>34035051800</w:t>
            </w:r>
          </w:p>
        </w:tc>
        <w:tc>
          <w:tcPr>
            <w:tcW w:type="dxa" w:w="1872"/>
          </w:tcPr>
          <w:p>
            <w:r/>
            <w:r>
              <w:rPr>
                <w:sz w:val="18"/>
              </w:rPr>
              <w:t>26%</w:t>
            </w:r>
          </w:p>
        </w:tc>
        <w:tc>
          <w:tcPr>
            <w:tcW w:type="dxa" w:w="1872"/>
          </w:tcPr>
          <w:p>
            <w:r/>
            <w:r>
              <w:rPr>
                <w:sz w:val="18"/>
              </w:rPr>
              <w:t>31%</w:t>
            </w:r>
          </w:p>
        </w:tc>
        <w:tc>
          <w:tcPr>
            <w:tcW w:type="dxa" w:w="1872"/>
          </w:tcPr>
          <w:p>
            <w:r/>
            <w:r>
              <w:rPr>
                <w:sz w:val="18"/>
              </w:rPr>
              <w:t>16%</w:t>
            </w:r>
          </w:p>
        </w:tc>
        <w:tc>
          <w:tcPr>
            <w:tcW w:type="dxa" w:w="1872"/>
          </w:tcPr>
          <w:p>
            <w:r/>
            <w:r>
              <w:rPr>
                <w:sz w:val="18"/>
              </w:rPr>
              <w:t>22</w:t>
            </w:r>
          </w:p>
        </w:tc>
      </w:tr>
      <w:tr>
        <w:tc>
          <w:tcPr>
            <w:tcW w:type="dxa" w:w="1872"/>
          </w:tcPr>
          <w:p>
            <w:r/>
            <w:r>
              <w:rPr>
                <w:sz w:val="18"/>
              </w:rPr>
              <w:t>34035053300</w:t>
            </w:r>
          </w:p>
        </w:tc>
        <w:tc>
          <w:tcPr>
            <w:tcW w:type="dxa" w:w="1872"/>
          </w:tcPr>
          <w:p>
            <w:r/>
            <w:r>
              <w:rPr>
                <w:sz w:val="18"/>
              </w:rPr>
              <w:t>21%</w:t>
            </w:r>
          </w:p>
        </w:tc>
        <w:tc>
          <w:tcPr>
            <w:tcW w:type="dxa" w:w="1872"/>
          </w:tcPr>
          <w:p>
            <w:r/>
            <w:r>
              <w:rPr>
                <w:sz w:val="18"/>
              </w:rPr>
              <w:t>32%</w:t>
            </w:r>
          </w:p>
        </w:tc>
        <w:tc>
          <w:tcPr>
            <w:tcW w:type="dxa" w:w="1872"/>
          </w:tcPr>
          <w:p>
            <w:r/>
            <w:r>
              <w:rPr>
                <w:sz w:val="18"/>
              </w:rPr>
              <w:t>11%</w:t>
            </w:r>
          </w:p>
        </w:tc>
        <w:tc>
          <w:tcPr>
            <w:tcW w:type="dxa" w:w="1872"/>
          </w:tcPr>
          <w:p>
            <w:r/>
            <w:r>
              <w:rPr>
                <w:sz w:val="18"/>
              </w:rPr>
              <w:t>21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Somerset County, New Jersey and New Jersey. 2020-2024 American Community Survey 5-Year Estimates and 2025 Population Estimates. Accessed August 29,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29,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