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Hunterdon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chronic-disease and community-health figures are from the CDC's PLACES project. ALICE and provider-ratio indicators are pending source connection and are listed at the end — not estimated.</w:t>
      </w:r>
    </w:p>
    <w:p>
      <w:r>
        <w:rPr>
          <w:b/>
        </w:rPr>
        <w:t>Poverty, income, and the case for concentrated need</w:t>
      </w:r>
    </w:p>
    <w:p>
      <w:pPr>
        <w:spacing w:after="200"/>
      </w:pPr>
      <w:r>
        <w:t>The communities Zufall Health serves within Hunterdon County, New Jersey include areas of concentrated poverty and constrained access to care. Hunterdon County's median household income is $141,715, above the statewide median of $103,556, and 4.5%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Hunterdon County contains 30 census tracts. Measured against the seven-county service-area average, 2 of those tracts carry an above-average uninsured rate and 3 carry an above-average share of residents below 200% of the federal poverty level.</w:t>
      </w:r>
      <w:r>
        <w:rPr>
          <w:vertAlign w:val="superscript"/>
        </w:rPr>
        <w:t>2</w:t>
      </w:r>
      <w:r>
        <w:t xml:space="preserve"> No census tract in the county reaches the threshold of a quarter or more residents below 200% of the poverty level — need here is lower and more evenly distributed than in Zufall's higher-need counties. The sharpest need sits in and around Census Tract 114 (GEOID 34019011400): there, 12% of residents are uninsured and 24% live below 200% of the federal poverty level, and 19% of households are limited-English-speaking — a concentration that county-level averages hide entirely. Across the seven counties Zufall serves, Hunterdon carries the lowest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4.7% of Hunterdon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Chronic disease and community health burden</w:t>
      </w:r>
    </w:p>
    <w:p>
      <w:pPr>
        <w:spacing w:after="200"/>
      </w:pPr>
      <w:r>
        <w:t>Model-based CDC estimates put adult diabetes in Hunterdon County at 9.2% (New Jersey: 10.9%), obesity at 26.3% (NJ: 28.9%), and high blood pressure at 31.7% (NJ: 32.9%).</w:t>
      </w:r>
      <w:r>
        <w:rPr>
          <w:vertAlign w:val="superscript"/>
        </w:rPr>
        <w:t>3</w:t>
      </w:r>
      <w:r>
        <w:t xml:space="preserve"> Hunterdon exceeds the statewide rate on 5 of the eleven tracked chronic conditions, including high cholesterol, coronary heart disease, and cancer (non-skin). 13.6% of adults report fair or poor overall health (NJ: 17.1%) and 13.3% report frequent mental distress (NJ: 14.7%). On health-related social needs, 4.6% of adults report a lack of reliable transportation and 7% report housing insecurity (NJ: 7.4% and 12.3%). These conditions define the day-to-day clinical demand a community health center must meet — and, paired with the coverage and language barriers documented above, the case for sustained primary, dental, and behavioral-health capacity.</w:t>
      </w:r>
    </w:p>
    <w:p>
      <w:r>
        <w:rPr>
          <w:b/>
        </w:rPr>
        <w:t>Food insecurity</w:t>
      </w:r>
    </w:p>
    <w:p>
      <w:pPr>
        <w:spacing w:after="200"/>
      </w:pPr>
      <w:r>
        <w:t>An estimated 7.2% of Hunterdon County residents — about 9,380 people — live in food-insecure households, and 6.6% of the county's children face food insecurity.</w:t>
      </w:r>
      <w:r>
        <w:rPr>
          <w:vertAlign w:val="superscript"/>
        </w:rPr>
        <w:t>4</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Hunterdon County is home to 131,781 residents. 10.2% identify as Hispanic or Latino and 3.8% as Black or African American, compared with 24.0% and 15.8% statewide.</w:t>
      </w:r>
      <w:r>
        <w:rPr>
          <w:vertAlign w:val="superscript"/>
        </w:rPr>
        <w:t>1</w:t>
      </w:r>
      <w:r>
        <w:t xml:space="preserve"> Language access is a substantial need: 14.2% of residents age 5 and over speak a language other than English at home, below the New Jersey figure of 33.1%.</w:t>
      </w:r>
      <w:r>
        <w:rPr>
          <w:vertAlign w:val="superscript"/>
        </w:rPr>
        <w:t>1</w:t>
      </w:r>
      <w:r>
        <w:t xml:space="preserve"> Adults age 65 and over make up 23.4%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34019011400</w:t>
            </w:r>
          </w:p>
        </w:tc>
        <w:tc>
          <w:tcPr>
            <w:tcW w:type="dxa" w:w="1872"/>
          </w:tcPr>
          <w:p>
            <w:r/>
            <w:r>
              <w:rPr>
                <w:sz w:val="18"/>
              </w:rPr>
              <w:t>12%</w:t>
            </w:r>
          </w:p>
        </w:tc>
        <w:tc>
          <w:tcPr>
            <w:tcW w:type="dxa" w:w="1872"/>
          </w:tcPr>
          <w:p>
            <w:r/>
            <w:r>
              <w:rPr>
                <w:sz w:val="18"/>
              </w:rPr>
              <w:t>24%</w:t>
            </w:r>
          </w:p>
        </w:tc>
        <w:tc>
          <w:tcPr>
            <w:tcW w:type="dxa" w:w="1872"/>
          </w:tcPr>
          <w:p>
            <w:r/>
            <w:r>
              <w:rPr>
                <w:sz w:val="18"/>
              </w:rPr>
              <w:t>19%</w:t>
            </w:r>
          </w:p>
        </w:tc>
        <w:tc>
          <w:tcPr>
            <w:tcW w:type="dxa" w:w="1872"/>
          </w:tcPr>
          <w:p>
            <w:r/>
            <w:r>
              <w:rPr>
                <w:sz w:val="18"/>
              </w:rPr>
              <w:t>20</w:t>
            </w:r>
          </w:p>
        </w:tc>
      </w:tr>
      <w:tr>
        <w:tc>
          <w:tcPr>
            <w:tcW w:type="dxa" w:w="1872"/>
          </w:tcPr>
          <w:p>
            <w:r/>
            <w:r>
              <w:rPr>
                <w:sz w:val="18"/>
              </w:rPr>
              <w:t>34019011100</w:t>
            </w:r>
          </w:p>
        </w:tc>
        <w:tc>
          <w:tcPr>
            <w:tcW w:type="dxa" w:w="1872"/>
          </w:tcPr>
          <w:p>
            <w:r/>
            <w:r>
              <w:rPr>
                <w:sz w:val="18"/>
              </w:rPr>
              <w:t>2%</w:t>
            </w:r>
          </w:p>
        </w:tc>
        <w:tc>
          <w:tcPr>
            <w:tcW w:type="dxa" w:w="1872"/>
          </w:tcPr>
          <w:p>
            <w:r/>
            <w:r>
              <w:rPr>
                <w:sz w:val="18"/>
              </w:rPr>
              <w:t>20%</w:t>
            </w:r>
          </w:p>
        </w:tc>
        <w:tc>
          <w:tcPr>
            <w:tcW w:type="dxa" w:w="1872"/>
          </w:tcPr>
          <w:p>
            <w:r/>
            <w:r>
              <w:rPr>
                <w:sz w:val="18"/>
              </w:rPr>
              <w:t>0%</w:t>
            </w:r>
          </w:p>
        </w:tc>
        <w:tc>
          <w:tcPr>
            <w:tcW w:type="dxa" w:w="1872"/>
          </w:tcPr>
          <w:p>
            <w:r/>
            <w:r>
              <w:rPr>
                <w:sz w:val="18"/>
              </w:rPr>
              <w:t>13</w:t>
            </w:r>
          </w:p>
        </w:tc>
      </w:tr>
      <w:tr>
        <w:tc>
          <w:tcPr>
            <w:tcW w:type="dxa" w:w="1872"/>
          </w:tcPr>
          <w:p>
            <w:r/>
            <w:r>
              <w:rPr>
                <w:sz w:val="18"/>
              </w:rPr>
              <w:t>34019010802</w:t>
            </w:r>
          </w:p>
        </w:tc>
        <w:tc>
          <w:tcPr>
            <w:tcW w:type="dxa" w:w="1872"/>
          </w:tcPr>
          <w:p>
            <w:r/>
            <w:r>
              <w:rPr>
                <w:sz w:val="18"/>
              </w:rPr>
              <w:t>4%</w:t>
            </w:r>
          </w:p>
        </w:tc>
        <w:tc>
          <w:tcPr>
            <w:tcW w:type="dxa" w:w="1872"/>
          </w:tcPr>
          <w:p>
            <w:r/>
            <w:r>
              <w:rPr>
                <w:sz w:val="18"/>
              </w:rPr>
              <w:t>20%</w:t>
            </w:r>
          </w:p>
        </w:tc>
        <w:tc>
          <w:tcPr>
            <w:tcW w:type="dxa" w:w="1872"/>
          </w:tcPr>
          <w:p>
            <w:r/>
            <w:r>
              <w:rPr>
                <w:sz w:val="18"/>
              </w:rPr>
              <w:t>1%</w:t>
            </w:r>
          </w:p>
        </w:tc>
        <w:tc>
          <w:tcPr>
            <w:tcW w:type="dxa" w:w="1872"/>
          </w:tcPr>
          <w:p>
            <w:r/>
            <w:r>
              <w:rPr>
                <w:sz w:val="18"/>
              </w:rPr>
              <w:t>12</w:t>
            </w:r>
          </w:p>
        </w:tc>
      </w:tr>
      <w:tr>
        <w:tc>
          <w:tcPr>
            <w:tcW w:type="dxa" w:w="1872"/>
          </w:tcPr>
          <w:p>
            <w:r/>
            <w:r>
              <w:rPr>
                <w:sz w:val="18"/>
              </w:rPr>
              <w:t>34019011900</w:t>
            </w:r>
          </w:p>
        </w:tc>
        <w:tc>
          <w:tcPr>
            <w:tcW w:type="dxa" w:w="1872"/>
          </w:tcPr>
          <w:p>
            <w:r/>
            <w:r>
              <w:rPr>
                <w:sz w:val="18"/>
              </w:rPr>
              <w:t>1%</w:t>
            </w:r>
          </w:p>
        </w:tc>
        <w:tc>
          <w:tcPr>
            <w:tcW w:type="dxa" w:w="1872"/>
          </w:tcPr>
          <w:p>
            <w:r/>
            <w:r>
              <w:rPr>
                <w:sz w:val="18"/>
              </w:rPr>
              <w:t>14%</w:t>
            </w:r>
          </w:p>
        </w:tc>
        <w:tc>
          <w:tcPr>
            <w:tcW w:type="dxa" w:w="1872"/>
          </w:tcPr>
          <w:p>
            <w:r/>
            <w:r>
              <w:rPr>
                <w:sz w:val="18"/>
              </w:rPr>
              <w:t>3%</w:t>
            </w:r>
          </w:p>
        </w:tc>
        <w:tc>
          <w:tcPr>
            <w:tcW w:type="dxa" w:w="1872"/>
          </w:tcPr>
          <w:p>
            <w:r/>
            <w:r>
              <w:rPr>
                <w:sz w:val="18"/>
              </w:rPr>
              <w:t>12</w:t>
            </w:r>
          </w:p>
        </w:tc>
      </w:tr>
      <w:tr>
        <w:tc>
          <w:tcPr>
            <w:tcW w:type="dxa" w:w="1872"/>
          </w:tcPr>
          <w:p>
            <w:r/>
            <w:r>
              <w:rPr>
                <w:sz w:val="18"/>
              </w:rPr>
              <w:t>34019010300</w:t>
            </w:r>
          </w:p>
        </w:tc>
        <w:tc>
          <w:tcPr>
            <w:tcW w:type="dxa" w:w="1872"/>
          </w:tcPr>
          <w:p>
            <w:r/>
            <w:r>
              <w:rPr>
                <w:sz w:val="18"/>
              </w:rPr>
              <w:t>6%</w:t>
            </w:r>
          </w:p>
        </w:tc>
        <w:tc>
          <w:tcPr>
            <w:tcW w:type="dxa" w:w="1872"/>
          </w:tcPr>
          <w:p>
            <w:r/>
            <w:r>
              <w:rPr>
                <w:sz w:val="18"/>
              </w:rPr>
              <w:t>17%</w:t>
            </w:r>
          </w:p>
        </w:tc>
        <w:tc>
          <w:tcPr>
            <w:tcW w:type="dxa" w:w="1872"/>
          </w:tcPr>
          <w:p>
            <w:r/>
            <w:r>
              <w:rPr>
                <w:sz w:val="18"/>
              </w:rPr>
              <w:t>2%</w:t>
            </w:r>
          </w:p>
        </w:tc>
        <w:tc>
          <w:tcPr>
            <w:tcW w:type="dxa" w:w="1872"/>
          </w:tcPr>
          <w:p>
            <w:r/>
            <w:r>
              <w:rPr>
                <w:sz w:val="18"/>
              </w:rPr>
              <w:t>11</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Prenatal care, infant mortality (including racial disparity), and neighborhood-level chronic-disease detail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Hunterdon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Centers for Disease Control and Prevention. PLACES: Local Data for Better Health, County Data, 2025 release — model-based small-area estimates (crude prevalence) from the Behavioral Risk Factor Surveillance System. Retrieved from cdc.gov/places. Accessed August 30, 2026.</w:t>
      </w:r>
    </w:p>
    <w:p>
      <w:r>
        <w:rPr>
          <w:sz w:val="17"/>
        </w:rPr>
        <w:t>4.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