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Hunterdon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Hunterdon County, New Jersey include areas of concentrated poverty and constrained access to care. Hunterdon County's median household income is $141,715, above the statewide median of $103,556, and 4.5%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Hunterdon County contains 30 census tracts. Measured against the seven-county service-area average, 2 of those tracts carry an above-average uninsured rate and 3 carry an above-average share of residents below 200% of the federal poverty level.</w:t>
      </w:r>
      <w:r>
        <w:rPr>
          <w:vertAlign w:val="superscript"/>
        </w:rPr>
        <w:t>2</w:t>
      </w:r>
      <w:r>
        <w:t xml:space="preserve"> No census tract in the county reaches the threshold of a quarter or more residents below 200% of the poverty level — need here is lower and more evenly distributed than in Zufall's higher-need counties. The sharpest need sits in and around Census Tract 114 (GEOID 34019011400): there, 12% of residents are uninsured and 24% live below 200% of the federal poverty level, and 19% of households are limited-English-speaking — a concentration that county-level averages hide entirely. Across the seven counties Zufall serves, Hunterdon carries the lowest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4.7% of Hunterdon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7.2% of Hunterdon County residents — about 9,380 people — live in food-insecure households, and 6.6%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Hunterdon County is home to 131,781 residents. 10.2% identify as Hispanic or Latino and 3.8% as Black or African American, compared with 24.0% and 15.8% statewide.</w:t>
      </w:r>
      <w:r>
        <w:rPr>
          <w:vertAlign w:val="superscript"/>
        </w:rPr>
        <w:t>1</w:t>
      </w:r>
      <w:r>
        <w:t xml:space="preserve"> Language access is a substantial need: 14.2% of residents age 5 and over speak a language other than English at home, below the New Jersey figure of 33.1%.</w:t>
      </w:r>
      <w:r>
        <w:rPr>
          <w:vertAlign w:val="superscript"/>
        </w:rPr>
        <w:t>1</w:t>
      </w:r>
      <w:r>
        <w:t xml:space="preserve"> Adults age 65 and over make up 23.4%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34019011400</w:t>
            </w:r>
          </w:p>
        </w:tc>
        <w:tc>
          <w:tcPr>
            <w:tcW w:type="dxa" w:w="1872"/>
          </w:tcPr>
          <w:p>
            <w:r/>
            <w:r>
              <w:rPr>
                <w:sz w:val="18"/>
              </w:rPr>
              <w:t>12%</w:t>
            </w:r>
          </w:p>
        </w:tc>
        <w:tc>
          <w:tcPr>
            <w:tcW w:type="dxa" w:w="1872"/>
          </w:tcPr>
          <w:p>
            <w:r/>
            <w:r>
              <w:rPr>
                <w:sz w:val="18"/>
              </w:rPr>
              <w:t>24%</w:t>
            </w:r>
          </w:p>
        </w:tc>
        <w:tc>
          <w:tcPr>
            <w:tcW w:type="dxa" w:w="1872"/>
          </w:tcPr>
          <w:p>
            <w:r/>
            <w:r>
              <w:rPr>
                <w:sz w:val="18"/>
              </w:rPr>
              <w:t>19%</w:t>
            </w:r>
          </w:p>
        </w:tc>
        <w:tc>
          <w:tcPr>
            <w:tcW w:type="dxa" w:w="1872"/>
          </w:tcPr>
          <w:p>
            <w:r/>
            <w:r>
              <w:rPr>
                <w:sz w:val="18"/>
              </w:rPr>
              <w:t>18</w:t>
            </w:r>
          </w:p>
        </w:tc>
      </w:tr>
      <w:tr>
        <w:tc>
          <w:tcPr>
            <w:tcW w:type="dxa" w:w="1872"/>
          </w:tcPr>
          <w:p>
            <w:r/>
            <w:r>
              <w:rPr>
                <w:sz w:val="18"/>
              </w:rPr>
              <w:t>34019011100</w:t>
            </w:r>
          </w:p>
        </w:tc>
        <w:tc>
          <w:tcPr>
            <w:tcW w:type="dxa" w:w="1872"/>
          </w:tcPr>
          <w:p>
            <w:r/>
            <w:r>
              <w:rPr>
                <w:sz w:val="18"/>
              </w:rPr>
              <w:t>2%</w:t>
            </w:r>
          </w:p>
        </w:tc>
        <w:tc>
          <w:tcPr>
            <w:tcW w:type="dxa" w:w="1872"/>
          </w:tcPr>
          <w:p>
            <w:r/>
            <w:r>
              <w:rPr>
                <w:sz w:val="18"/>
              </w:rPr>
              <w:t>20%</w:t>
            </w:r>
          </w:p>
        </w:tc>
        <w:tc>
          <w:tcPr>
            <w:tcW w:type="dxa" w:w="1872"/>
          </w:tcPr>
          <w:p>
            <w:r/>
            <w:r>
              <w:rPr>
                <w:sz w:val="18"/>
              </w:rPr>
              <w:t>0%</w:t>
            </w:r>
          </w:p>
        </w:tc>
        <w:tc>
          <w:tcPr>
            <w:tcW w:type="dxa" w:w="1872"/>
          </w:tcPr>
          <w:p>
            <w:r/>
            <w:r>
              <w:rPr>
                <w:sz w:val="18"/>
              </w:rPr>
              <w:t>12</w:t>
            </w:r>
          </w:p>
        </w:tc>
      </w:tr>
      <w:tr>
        <w:tc>
          <w:tcPr>
            <w:tcW w:type="dxa" w:w="1872"/>
          </w:tcPr>
          <w:p>
            <w:r/>
            <w:r>
              <w:rPr>
                <w:sz w:val="18"/>
              </w:rPr>
              <w:t>34019010300</w:t>
            </w:r>
          </w:p>
        </w:tc>
        <w:tc>
          <w:tcPr>
            <w:tcW w:type="dxa" w:w="1872"/>
          </w:tcPr>
          <w:p>
            <w:r/>
            <w:r>
              <w:rPr>
                <w:sz w:val="18"/>
              </w:rPr>
              <w:t>6%</w:t>
            </w:r>
          </w:p>
        </w:tc>
        <w:tc>
          <w:tcPr>
            <w:tcW w:type="dxa" w:w="1872"/>
          </w:tcPr>
          <w:p>
            <w:r/>
            <w:r>
              <w:rPr>
                <w:sz w:val="18"/>
              </w:rPr>
              <w:t>17%</w:t>
            </w:r>
          </w:p>
        </w:tc>
        <w:tc>
          <w:tcPr>
            <w:tcW w:type="dxa" w:w="1872"/>
          </w:tcPr>
          <w:p>
            <w:r/>
            <w:r>
              <w:rPr>
                <w:sz w:val="18"/>
              </w:rPr>
              <w:t>2%</w:t>
            </w:r>
          </w:p>
        </w:tc>
        <w:tc>
          <w:tcPr>
            <w:tcW w:type="dxa" w:w="1872"/>
          </w:tcPr>
          <w:p>
            <w:r/>
            <w:r>
              <w:rPr>
                <w:sz w:val="18"/>
              </w:rPr>
              <w:t>11</w:t>
            </w:r>
          </w:p>
        </w:tc>
      </w:tr>
      <w:tr>
        <w:tc>
          <w:tcPr>
            <w:tcW w:type="dxa" w:w="1872"/>
          </w:tcPr>
          <w:p>
            <w:r/>
            <w:r>
              <w:rPr>
                <w:sz w:val="18"/>
              </w:rPr>
              <w:t>34019011900</w:t>
            </w:r>
          </w:p>
        </w:tc>
        <w:tc>
          <w:tcPr>
            <w:tcW w:type="dxa" w:w="1872"/>
          </w:tcPr>
          <w:p>
            <w:r/>
            <w:r>
              <w:rPr>
                <w:sz w:val="18"/>
              </w:rPr>
              <w:t>1%</w:t>
            </w:r>
          </w:p>
        </w:tc>
        <w:tc>
          <w:tcPr>
            <w:tcW w:type="dxa" w:w="1872"/>
          </w:tcPr>
          <w:p>
            <w:r/>
            <w:r>
              <w:rPr>
                <w:sz w:val="18"/>
              </w:rPr>
              <w:t>14%</w:t>
            </w:r>
          </w:p>
        </w:tc>
        <w:tc>
          <w:tcPr>
            <w:tcW w:type="dxa" w:w="1872"/>
          </w:tcPr>
          <w:p>
            <w:r/>
            <w:r>
              <w:rPr>
                <w:sz w:val="18"/>
              </w:rPr>
              <w:t>3%</w:t>
            </w:r>
          </w:p>
        </w:tc>
        <w:tc>
          <w:tcPr>
            <w:tcW w:type="dxa" w:w="1872"/>
          </w:tcPr>
          <w:p>
            <w:r/>
            <w:r>
              <w:rPr>
                <w:sz w:val="18"/>
              </w:rPr>
              <w:t>11</w:t>
            </w:r>
          </w:p>
        </w:tc>
      </w:tr>
      <w:tr>
        <w:tc>
          <w:tcPr>
            <w:tcW w:type="dxa" w:w="1872"/>
          </w:tcPr>
          <w:p>
            <w:r/>
            <w:r>
              <w:rPr>
                <w:sz w:val="18"/>
              </w:rPr>
              <w:t>34019010802</w:t>
            </w:r>
          </w:p>
        </w:tc>
        <w:tc>
          <w:tcPr>
            <w:tcW w:type="dxa" w:w="1872"/>
          </w:tcPr>
          <w:p>
            <w:r/>
            <w:r>
              <w:rPr>
                <w:sz w:val="18"/>
              </w:rPr>
              <w:t>4%</w:t>
            </w:r>
          </w:p>
        </w:tc>
        <w:tc>
          <w:tcPr>
            <w:tcW w:type="dxa" w:w="1872"/>
          </w:tcPr>
          <w:p>
            <w:r/>
            <w:r>
              <w:rPr>
                <w:sz w:val="18"/>
              </w:rPr>
              <w:t>20%</w:t>
            </w:r>
          </w:p>
        </w:tc>
        <w:tc>
          <w:tcPr>
            <w:tcW w:type="dxa" w:w="1872"/>
          </w:tcPr>
          <w:p>
            <w:r/>
            <w:r>
              <w:rPr>
                <w:sz w:val="18"/>
              </w:rPr>
              <w:t>1%</w:t>
            </w:r>
          </w:p>
        </w:tc>
        <w:tc>
          <w:tcPr>
            <w:tcW w:type="dxa" w:w="1872"/>
          </w:tcPr>
          <w:p>
            <w:r/>
            <w:r>
              <w:rPr>
                <w:sz w:val="18"/>
              </w:rPr>
              <w:t>10</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Hunterdon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