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sixth-highest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9.5% of Sussex County residents — about 13,860 people — live in food-insecure households, and 9.5%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19</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15</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14</w:t>
            </w:r>
          </w:p>
        </w:tc>
      </w:tr>
      <w:tr>
        <w:tc>
          <w:tcPr>
            <w:tcW w:type="dxa" w:w="1872"/>
          </w:tcPr>
          <w:p>
            <w:r/>
            <w:r>
              <w:rPr>
                <w:sz w:val="18"/>
              </w:rPr>
              <w:t>34037373800</w:t>
            </w:r>
          </w:p>
        </w:tc>
        <w:tc>
          <w:tcPr>
            <w:tcW w:type="dxa" w:w="1872"/>
          </w:tcPr>
          <w:p>
            <w:r/>
            <w:r>
              <w:rPr>
                <w:sz w:val="18"/>
              </w:rPr>
              <w:t>3%</w:t>
            </w:r>
          </w:p>
        </w:tc>
        <w:tc>
          <w:tcPr>
            <w:tcW w:type="dxa" w:w="1872"/>
          </w:tcPr>
          <w:p>
            <w:r/>
            <w:r>
              <w:rPr>
                <w:sz w:val="18"/>
              </w:rPr>
              <w:t>26%</w:t>
            </w:r>
          </w:p>
        </w:tc>
        <w:tc>
          <w:tcPr>
            <w:tcW w:type="dxa" w:w="1872"/>
          </w:tcPr>
          <w:p>
            <w:r/>
            <w:r>
              <w:rPr>
                <w:sz w:val="18"/>
              </w:rPr>
              <w:t>1%</w:t>
            </w:r>
          </w:p>
        </w:tc>
        <w:tc>
          <w:tcPr>
            <w:tcW w:type="dxa" w:w="1872"/>
          </w:tcPr>
          <w:p>
            <w:r/>
            <w:r>
              <w:rPr>
                <w:sz w:val="18"/>
              </w:rPr>
              <w:t>12</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12</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Sussex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