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Morris County Needs Assessment — August 2026</w:t>
      </w:r>
    </w:p>
    <w:p>
      <w:r>
        <w:rPr>
          <w:i/>
          <w:color w:val="1E6B57"/>
          <w:sz w:val="17"/>
        </w:rPr>
        <w:t>County and statewide figures below are published U.S. Census Bureau values; the census-tract concentration analysis is drawn from ACS 5-year tract tables. ALICE, provider-ratio, chronic-disease, and food-insecurity indicators are pending source connection and are listed at the end — not estimated.</w:t>
      </w:r>
    </w:p>
    <w:p>
      <w:r>
        <w:rPr>
          <w:b/>
        </w:rPr>
        <w:t>Poverty, income, and the case for concentrated need</w:t>
      </w:r>
    </w:p>
    <w:p>
      <w:pPr>
        <w:spacing w:after="200"/>
      </w:pPr>
      <w:r>
        <w:t>The communities Zufall Health serves within Morris County, New Jersey include areas of concentrated poverty and constrained access to care. Morris County's median household income is $137,326, above the statewide median of $103,556, and 4.7%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Morris County contains 110 census tracts. Measured against the seven-county service-area average, 13 of those tracts carry an above-average uninsured rate and 19 carry an above-average share of residents below 200% of the federal poverty level.</w:t>
      </w:r>
      <w:r>
        <w:rPr>
          <w:vertAlign w:val="superscript"/>
        </w:rPr>
        <w:t>2</w:t>
      </w:r>
      <w:r>
        <w:t xml:space="preserve"> 10% of the county's residents — roughly 51,322 people — live in tracts where at least one in four residents falls below 200% of the federal poverty level. The sharpest need sits in and around Census Tract 417.05 (GEOID 34027041705): there, 2% of residents are uninsured and 28% live below 200% of the federal poverty level, and 37% of households are limited-English-speaking — a concentration that county-level averages hide entirely. Across the seven counties Zufall serves, Morris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5.8% of Morris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Demographics and language access</w:t>
      </w:r>
    </w:p>
    <w:p>
      <w:pPr>
        <w:spacing w:after="200"/>
      </w:pPr>
      <w:r>
        <w:t>Morris County is home to 524,251 residents. 17.1% identify as Hispanic or Latino and 4.9% as Black or African American, compared with 24.0% and 15.8% statewide.</w:t>
      </w:r>
      <w:r>
        <w:rPr>
          <w:vertAlign w:val="superscript"/>
        </w:rPr>
        <w:t>1</w:t>
      </w:r>
      <w:r>
        <w:t xml:space="preserve"> Language access is a substantial need: 26.6% of residents age 5 and over speak a language other than English at home, below the New Jersey figure of 33.1%.</w:t>
      </w:r>
      <w:r>
        <w:rPr>
          <w:vertAlign w:val="superscript"/>
        </w:rPr>
        <w:t>1</w:t>
      </w:r>
      <w:r>
        <w:t xml:space="preserve"> Adults age 65 and over make up 20.0%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34027041705</w:t>
            </w:r>
          </w:p>
        </w:tc>
        <w:tc>
          <w:tcPr>
            <w:tcW w:type="dxa" w:w="1872"/>
          </w:tcPr>
          <w:p>
            <w:r/>
            <w:r>
              <w:rPr>
                <w:sz w:val="18"/>
              </w:rPr>
              <w:t>2%</w:t>
            </w:r>
          </w:p>
        </w:tc>
        <w:tc>
          <w:tcPr>
            <w:tcW w:type="dxa" w:w="1872"/>
          </w:tcPr>
          <w:p>
            <w:r/>
            <w:r>
              <w:rPr>
                <w:sz w:val="18"/>
              </w:rPr>
              <w:t>28%</w:t>
            </w:r>
          </w:p>
        </w:tc>
        <w:tc>
          <w:tcPr>
            <w:tcW w:type="dxa" w:w="1872"/>
          </w:tcPr>
          <w:p>
            <w:r/>
            <w:r>
              <w:rPr>
                <w:sz w:val="18"/>
              </w:rPr>
              <w:t>37%</w:t>
            </w:r>
          </w:p>
        </w:tc>
        <w:tc>
          <w:tcPr>
            <w:tcW w:type="dxa" w:w="1872"/>
          </w:tcPr>
          <w:p>
            <w:r/>
            <w:r>
              <w:rPr>
                <w:sz w:val="18"/>
              </w:rPr>
              <w:t>33</w:t>
            </w:r>
          </w:p>
        </w:tc>
      </w:tr>
      <w:tr>
        <w:tc>
          <w:tcPr>
            <w:tcW w:type="dxa" w:w="1872"/>
          </w:tcPr>
          <w:p>
            <w:r/>
            <w:r>
              <w:rPr>
                <w:sz w:val="18"/>
              </w:rPr>
              <w:t>34027045000</w:t>
            </w:r>
          </w:p>
        </w:tc>
        <w:tc>
          <w:tcPr>
            <w:tcW w:type="dxa" w:w="1872"/>
          </w:tcPr>
          <w:p>
            <w:r/>
            <w:r>
              <w:rPr>
                <w:sz w:val="18"/>
              </w:rPr>
              <w:t>25%</w:t>
            </w:r>
          </w:p>
        </w:tc>
        <w:tc>
          <w:tcPr>
            <w:tcW w:type="dxa" w:w="1872"/>
          </w:tcPr>
          <w:p>
            <w:r/>
            <w:r>
              <w:rPr>
                <w:sz w:val="18"/>
              </w:rPr>
              <w:t>39%</w:t>
            </w:r>
          </w:p>
        </w:tc>
        <w:tc>
          <w:tcPr>
            <w:tcW w:type="dxa" w:w="1872"/>
          </w:tcPr>
          <w:p>
            <w:r/>
            <w:r>
              <w:rPr>
                <w:sz w:val="18"/>
              </w:rPr>
              <w:t>29%</w:t>
            </w:r>
          </w:p>
        </w:tc>
        <w:tc>
          <w:tcPr>
            <w:tcW w:type="dxa" w:w="1872"/>
          </w:tcPr>
          <w:p>
            <w:r/>
            <w:r>
              <w:rPr>
                <w:sz w:val="18"/>
              </w:rPr>
              <w:t>31</w:t>
            </w:r>
          </w:p>
        </w:tc>
      </w:tr>
      <w:tr>
        <w:tc>
          <w:tcPr>
            <w:tcW w:type="dxa" w:w="1872"/>
          </w:tcPr>
          <w:p>
            <w:r/>
            <w:r>
              <w:rPr>
                <w:sz w:val="18"/>
              </w:rPr>
              <w:t>34027044800</w:t>
            </w:r>
          </w:p>
        </w:tc>
        <w:tc>
          <w:tcPr>
            <w:tcW w:type="dxa" w:w="1872"/>
          </w:tcPr>
          <w:p>
            <w:r/>
            <w:r>
              <w:rPr>
                <w:sz w:val="18"/>
              </w:rPr>
              <w:t>30%</w:t>
            </w:r>
          </w:p>
        </w:tc>
        <w:tc>
          <w:tcPr>
            <w:tcW w:type="dxa" w:w="1872"/>
          </w:tcPr>
          <w:p>
            <w:r/>
            <w:r>
              <w:rPr>
                <w:sz w:val="18"/>
              </w:rPr>
              <w:t>56%</w:t>
            </w:r>
          </w:p>
        </w:tc>
        <w:tc>
          <w:tcPr>
            <w:tcW w:type="dxa" w:w="1872"/>
          </w:tcPr>
          <w:p>
            <w:r/>
            <w:r>
              <w:rPr>
                <w:sz w:val="18"/>
              </w:rPr>
              <w:t>18%</w:t>
            </w:r>
          </w:p>
        </w:tc>
        <w:tc>
          <w:tcPr>
            <w:tcW w:type="dxa" w:w="1872"/>
          </w:tcPr>
          <w:p>
            <w:r/>
            <w:r>
              <w:rPr>
                <w:sz w:val="18"/>
              </w:rPr>
              <w:t>30</w:t>
            </w:r>
          </w:p>
        </w:tc>
      </w:tr>
      <w:tr>
        <w:tc>
          <w:tcPr>
            <w:tcW w:type="dxa" w:w="1872"/>
          </w:tcPr>
          <w:p>
            <w:r/>
            <w:r>
              <w:rPr>
                <w:sz w:val="18"/>
              </w:rPr>
              <w:t>34027044900</w:t>
            </w:r>
          </w:p>
        </w:tc>
        <w:tc>
          <w:tcPr>
            <w:tcW w:type="dxa" w:w="1872"/>
          </w:tcPr>
          <w:p>
            <w:r/>
            <w:r>
              <w:rPr>
                <w:sz w:val="18"/>
              </w:rPr>
              <w:t>20%</w:t>
            </w:r>
          </w:p>
        </w:tc>
        <w:tc>
          <w:tcPr>
            <w:tcW w:type="dxa" w:w="1872"/>
          </w:tcPr>
          <w:p>
            <w:r/>
            <w:r>
              <w:rPr>
                <w:sz w:val="18"/>
              </w:rPr>
              <w:t>32%</w:t>
            </w:r>
          </w:p>
        </w:tc>
        <w:tc>
          <w:tcPr>
            <w:tcW w:type="dxa" w:w="1872"/>
          </w:tcPr>
          <w:p>
            <w:r/>
            <w:r>
              <w:rPr>
                <w:sz w:val="18"/>
              </w:rPr>
              <w:t>23%</w:t>
            </w:r>
          </w:p>
        </w:tc>
        <w:tc>
          <w:tcPr>
            <w:tcW w:type="dxa" w:w="1872"/>
          </w:tcPr>
          <w:p>
            <w:r/>
            <w:r>
              <w:rPr>
                <w:sz w:val="18"/>
              </w:rPr>
              <w:t>24</w:t>
            </w:r>
          </w:p>
        </w:tc>
      </w:tr>
      <w:tr>
        <w:tc>
          <w:tcPr>
            <w:tcW w:type="dxa" w:w="1872"/>
          </w:tcPr>
          <w:p>
            <w:r/>
            <w:r>
              <w:rPr>
                <w:sz w:val="18"/>
              </w:rPr>
              <w:t>34027043802</w:t>
            </w:r>
          </w:p>
        </w:tc>
        <w:tc>
          <w:tcPr>
            <w:tcW w:type="dxa" w:w="1872"/>
          </w:tcPr>
          <w:p>
            <w:r/>
            <w:r>
              <w:rPr>
                <w:sz w:val="18"/>
              </w:rPr>
              <w:t>18%</w:t>
            </w:r>
          </w:p>
        </w:tc>
        <w:tc>
          <w:tcPr>
            <w:tcW w:type="dxa" w:w="1872"/>
          </w:tcPr>
          <w:p>
            <w:r/>
            <w:r>
              <w:rPr>
                <w:sz w:val="18"/>
              </w:rPr>
              <w:t>30%</w:t>
            </w:r>
          </w:p>
        </w:tc>
        <w:tc>
          <w:tcPr>
            <w:tcW w:type="dxa" w:w="1872"/>
          </w:tcPr>
          <w:p>
            <w:r/>
            <w:r>
              <w:rPr>
                <w:sz w:val="18"/>
              </w:rPr>
              <w:t>23%</w:t>
            </w:r>
          </w:p>
        </w:tc>
        <w:tc>
          <w:tcPr>
            <w:tcW w:type="dxa" w:w="1872"/>
          </w:tcPr>
          <w:p>
            <w:r/>
            <w:r>
              <w:rPr>
                <w:sz w:val="18"/>
              </w:rPr>
              <w:t>22</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pPr>
        <w:pStyle w:val="ListBullet"/>
      </w:pPr>
      <w:r>
        <w:rPr>
          <w:sz w:val="20"/>
        </w:rPr>
        <w:t xml:space="preserve">Food-insecurity rate and SNAP participation — </w:t>
      </w:r>
      <w:r>
        <w:rPr>
          <w:i/>
          <w:sz w:val="20"/>
        </w:rPr>
        <w:t>Feeding America — Map the Meal Gap</w:t>
      </w:r>
    </w:p>
    <w:p>
      <w:r>
        <w:rPr>
          <w:b/>
        </w:rPr>
        <w:t>References</w:t>
      </w:r>
    </w:p>
    <w:p>
      <w:r>
        <w:rPr>
          <w:sz w:val="17"/>
        </w:rPr>
        <w:t>1. U.S. Census Bureau QuickFacts. Morris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retrieved via the Needs Atlas data pipeline and aggregated to the tract level.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