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Warren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Warren County, New Jersey include areas of concentrated poverty and constrained access to care. Warren County's median household income is $100,869, near the statewide median of $103,556, and 8.2%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Warren County contains 23 census tracts. Measured against the seven-county service-area average, 4 of those tracts carry an above-average uninsured rate and 8 carry an above-average share of residents below 200% of the federal poverty level.</w:t>
      </w:r>
      <w:r>
        <w:rPr>
          <w:vertAlign w:val="superscript"/>
        </w:rPr>
        <w:t>2</w:t>
      </w:r>
      <w:r>
        <w:t xml:space="preserve"> 20% of the county's residents — roughly 22,538 people — live in tracts where at least one in four residents falls below 200% of the federal poverty level. The sharpest need sits in and around Census Tract 309 (GEOID 34041030900): there, 7% of residents are uninsured and 53% live below 200% of the federal poverty level, and 3% of households are limited-English-speaking — a concentration that county-level averages hide entirely. Across the seven counties Zufall serves, Warren carries the third-highest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6.8% of Warren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Warren County is home to 112,953 residents. 15.5% identify as Hispanic or Latino and 8.6% as Black or African American, compared with 24.0% and 15.8% statewide.</w:t>
      </w:r>
      <w:r>
        <w:rPr>
          <w:vertAlign w:val="superscript"/>
        </w:rPr>
        <w:t>1</w:t>
      </w:r>
      <w:r>
        <w:t xml:space="preserve"> Language access is a substantial need: 15.4% of residents age 5 and over speak a language other than English at home, below the New Jersey figure of 33.1%.</w:t>
      </w:r>
      <w:r>
        <w:rPr>
          <w:vertAlign w:val="superscript"/>
        </w:rPr>
        <w:t>1</w:t>
      </w:r>
      <w:r>
        <w:t xml:space="preserve"> Adults age 65 and over make up 21.6%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34041030900</w:t>
            </w:r>
          </w:p>
        </w:tc>
        <w:tc>
          <w:tcPr>
            <w:tcW w:type="dxa" w:w="1872"/>
          </w:tcPr>
          <w:p>
            <w:r/>
            <w:r>
              <w:rPr>
                <w:sz w:val="18"/>
              </w:rPr>
              <w:t>7%</w:t>
            </w:r>
          </w:p>
        </w:tc>
        <w:tc>
          <w:tcPr>
            <w:tcW w:type="dxa" w:w="1872"/>
          </w:tcPr>
          <w:p>
            <w:r/>
            <w:r>
              <w:rPr>
                <w:sz w:val="18"/>
              </w:rPr>
              <w:t>53%</w:t>
            </w:r>
          </w:p>
        </w:tc>
        <w:tc>
          <w:tcPr>
            <w:tcW w:type="dxa" w:w="1872"/>
          </w:tcPr>
          <w:p>
            <w:r/>
            <w:r>
              <w:rPr>
                <w:sz w:val="18"/>
              </w:rPr>
              <w:t>3%</w:t>
            </w:r>
          </w:p>
        </w:tc>
        <w:tc>
          <w:tcPr>
            <w:tcW w:type="dxa" w:w="1872"/>
          </w:tcPr>
          <w:p>
            <w:r/>
            <w:r>
              <w:rPr>
                <w:sz w:val="18"/>
              </w:rPr>
              <w:t>25</w:t>
            </w:r>
          </w:p>
        </w:tc>
      </w:tr>
      <w:tr>
        <w:tc>
          <w:tcPr>
            <w:tcW w:type="dxa" w:w="1872"/>
          </w:tcPr>
          <w:p>
            <w:r/>
            <w:r>
              <w:rPr>
                <w:sz w:val="18"/>
              </w:rPr>
              <w:t>34041031601</w:t>
            </w:r>
          </w:p>
        </w:tc>
        <w:tc>
          <w:tcPr>
            <w:tcW w:type="dxa" w:w="1872"/>
          </w:tcPr>
          <w:p>
            <w:r/>
            <w:r>
              <w:rPr>
                <w:sz w:val="18"/>
              </w:rPr>
              <w:t>3%</w:t>
            </w:r>
          </w:p>
        </w:tc>
        <w:tc>
          <w:tcPr>
            <w:tcW w:type="dxa" w:w="1872"/>
          </w:tcPr>
          <w:p>
            <w:r/>
            <w:r>
              <w:rPr>
                <w:sz w:val="18"/>
              </w:rPr>
              <w:t>21%</w:t>
            </w:r>
          </w:p>
        </w:tc>
        <w:tc>
          <w:tcPr>
            <w:tcW w:type="dxa" w:w="1872"/>
          </w:tcPr>
          <w:p>
            <w:r/>
            <w:r>
              <w:rPr>
                <w:sz w:val="18"/>
              </w:rPr>
              <w:t>0%</w:t>
            </w:r>
          </w:p>
        </w:tc>
        <w:tc>
          <w:tcPr>
            <w:tcW w:type="dxa" w:w="1872"/>
          </w:tcPr>
          <w:p>
            <w:r/>
            <w:r>
              <w:rPr>
                <w:sz w:val="18"/>
              </w:rPr>
              <w:t>17</w:t>
            </w:r>
          </w:p>
        </w:tc>
      </w:tr>
      <w:tr>
        <w:tc>
          <w:tcPr>
            <w:tcW w:type="dxa" w:w="1872"/>
          </w:tcPr>
          <w:p>
            <w:r/>
            <w:r>
              <w:rPr>
                <w:sz w:val="18"/>
              </w:rPr>
              <w:t>34041031402</w:t>
            </w:r>
          </w:p>
        </w:tc>
        <w:tc>
          <w:tcPr>
            <w:tcW w:type="dxa" w:w="1872"/>
          </w:tcPr>
          <w:p>
            <w:r/>
            <w:r>
              <w:rPr>
                <w:sz w:val="18"/>
              </w:rPr>
              <w:t>16%</w:t>
            </w:r>
          </w:p>
        </w:tc>
        <w:tc>
          <w:tcPr>
            <w:tcW w:type="dxa" w:w="1872"/>
          </w:tcPr>
          <w:p>
            <w:r/>
            <w:r>
              <w:rPr>
                <w:sz w:val="18"/>
              </w:rPr>
              <w:t>24%</w:t>
            </w:r>
          </w:p>
        </w:tc>
        <w:tc>
          <w:tcPr>
            <w:tcW w:type="dxa" w:w="1872"/>
          </w:tcPr>
          <w:p>
            <w:r/>
            <w:r>
              <w:rPr>
                <w:sz w:val="18"/>
              </w:rPr>
              <w:t>8%</w:t>
            </w:r>
          </w:p>
        </w:tc>
        <w:tc>
          <w:tcPr>
            <w:tcW w:type="dxa" w:w="1872"/>
          </w:tcPr>
          <w:p>
            <w:r/>
            <w:r>
              <w:rPr>
                <w:sz w:val="18"/>
              </w:rPr>
              <w:t>16</w:t>
            </w:r>
          </w:p>
        </w:tc>
      </w:tr>
      <w:tr>
        <w:tc>
          <w:tcPr>
            <w:tcW w:type="dxa" w:w="1872"/>
          </w:tcPr>
          <w:p>
            <w:r/>
            <w:r>
              <w:rPr>
                <w:sz w:val="18"/>
              </w:rPr>
              <w:t>34041030600</w:t>
            </w:r>
          </w:p>
        </w:tc>
        <w:tc>
          <w:tcPr>
            <w:tcW w:type="dxa" w:w="1872"/>
          </w:tcPr>
          <w:p>
            <w:r/>
            <w:r>
              <w:rPr>
                <w:sz w:val="18"/>
              </w:rPr>
              <w:t>6%</w:t>
            </w:r>
          </w:p>
        </w:tc>
        <w:tc>
          <w:tcPr>
            <w:tcW w:type="dxa" w:w="1872"/>
          </w:tcPr>
          <w:p>
            <w:r/>
            <w:r>
              <w:rPr>
                <w:sz w:val="18"/>
              </w:rPr>
              <w:t>27%</w:t>
            </w:r>
          </w:p>
        </w:tc>
        <w:tc>
          <w:tcPr>
            <w:tcW w:type="dxa" w:w="1872"/>
          </w:tcPr>
          <w:p>
            <w:r/>
            <w:r>
              <w:rPr>
                <w:sz w:val="18"/>
              </w:rPr>
              <w:t>2%</w:t>
            </w:r>
          </w:p>
        </w:tc>
        <w:tc>
          <w:tcPr>
            <w:tcW w:type="dxa" w:w="1872"/>
          </w:tcPr>
          <w:p>
            <w:r/>
            <w:r>
              <w:rPr>
                <w:sz w:val="18"/>
              </w:rPr>
              <w:t>15</w:t>
            </w:r>
          </w:p>
        </w:tc>
      </w:tr>
      <w:tr>
        <w:tc>
          <w:tcPr>
            <w:tcW w:type="dxa" w:w="1872"/>
          </w:tcPr>
          <w:p>
            <w:r/>
            <w:r>
              <w:rPr>
                <w:sz w:val="18"/>
              </w:rPr>
              <w:t>34041030800</w:t>
            </w:r>
          </w:p>
        </w:tc>
        <w:tc>
          <w:tcPr>
            <w:tcW w:type="dxa" w:w="1872"/>
          </w:tcPr>
          <w:p>
            <w:r/>
            <w:r>
              <w:rPr>
                <w:sz w:val="18"/>
              </w:rPr>
              <w:t>2%</w:t>
            </w:r>
          </w:p>
        </w:tc>
        <w:tc>
          <w:tcPr>
            <w:tcW w:type="dxa" w:w="1872"/>
          </w:tcPr>
          <w:p>
            <w:r/>
            <w:r>
              <w:rPr>
                <w:sz w:val="18"/>
              </w:rPr>
              <w:t>32%</w:t>
            </w:r>
          </w:p>
        </w:tc>
        <w:tc>
          <w:tcPr>
            <w:tcW w:type="dxa" w:w="1872"/>
          </w:tcPr>
          <w:p>
            <w:r/>
            <w:r>
              <w:rPr>
                <w:sz w:val="18"/>
              </w:rPr>
              <w:t>1%</w:t>
            </w:r>
          </w:p>
        </w:tc>
        <w:tc>
          <w:tcPr>
            <w:tcW w:type="dxa" w:w="1872"/>
          </w:tcPr>
          <w:p>
            <w:r/>
            <w:r>
              <w:rPr>
                <w:sz w:val="18"/>
              </w:rPr>
              <w:t>14</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Warren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