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Essex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Essex County, New Jersey include areas of concentrated poverty and constrained access to care. Essex County's median household income is $80,789, below the statewide median of $103,556, and 13.4% of residents live in poverty, above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Essex County contains 211 census tracts. Measured against the seven-county service-area average, 125 of those tracts carry an above-average uninsured rate and 145 carry an above-average share of residents below 200% of the federal poverty level.</w:t>
      </w:r>
      <w:r>
        <w:rPr>
          <w:vertAlign w:val="superscript"/>
        </w:rPr>
        <w:t>2</w:t>
      </w:r>
      <w:r>
        <w:t xml:space="preserve"> 59% of the county's residents — roughly 503,110 people — live in tracts where at least one in four residents falls below 200% of the federal poverty level. The sharpest need sits in and around Census Tract 70 (GEOID 34013007000): there, 56% of residents are uninsured and 70% live below 200% of the federal poverty level, and 55% of households are limited-English-speaking — a concentration that county-level averages hide entirely. Across the seven counties Zufall serves, Essex carries the 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13.2% of Essex County residents under age 65 are uninsured, above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15.3% of Essex County residents — about 132,460 people — live in food-insecure households, and 21.6%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Essex County is home to 896,379 residents. 27.4% identify as Hispanic or Latino and 40.5% as Black or African American, compared with 24.0% and 15.8% statewide.</w:t>
      </w:r>
      <w:r>
        <w:rPr>
          <w:vertAlign w:val="superscript"/>
        </w:rPr>
        <w:t>1</w:t>
      </w:r>
      <w:r>
        <w:t xml:space="preserve"> Language access is a substantial need: 37.8% of residents age 5 and over speak a language other than English at home, above the New Jersey figure of 33.1%.</w:t>
      </w:r>
      <w:r>
        <w:rPr>
          <w:vertAlign w:val="superscript"/>
        </w:rPr>
        <w:t>1</w:t>
      </w:r>
      <w:r>
        <w:t xml:space="preserve"> Adults age 65 and over make up 14.5%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34013007000</w:t>
            </w:r>
          </w:p>
        </w:tc>
        <w:tc>
          <w:tcPr>
            <w:tcW w:type="dxa" w:w="1872"/>
          </w:tcPr>
          <w:p>
            <w:r/>
            <w:r>
              <w:rPr>
                <w:sz w:val="18"/>
              </w:rPr>
              <w:t>56%</w:t>
            </w:r>
          </w:p>
        </w:tc>
        <w:tc>
          <w:tcPr>
            <w:tcW w:type="dxa" w:w="1872"/>
          </w:tcPr>
          <w:p>
            <w:r/>
            <w:r>
              <w:rPr>
                <w:sz w:val="18"/>
              </w:rPr>
              <w:t>70%</w:t>
            </w:r>
          </w:p>
        </w:tc>
        <w:tc>
          <w:tcPr>
            <w:tcW w:type="dxa" w:w="1872"/>
          </w:tcPr>
          <w:p>
            <w:r/>
            <w:r>
              <w:rPr>
                <w:sz w:val="18"/>
              </w:rPr>
              <w:t>55%</w:t>
            </w:r>
          </w:p>
        </w:tc>
        <w:tc>
          <w:tcPr>
            <w:tcW w:type="dxa" w:w="1872"/>
          </w:tcPr>
          <w:p>
            <w:r/>
            <w:r>
              <w:rPr>
                <w:sz w:val="18"/>
              </w:rPr>
              <w:t>51</w:t>
            </w:r>
          </w:p>
        </w:tc>
      </w:tr>
      <w:tr>
        <w:tc>
          <w:tcPr>
            <w:tcW w:type="dxa" w:w="1872"/>
          </w:tcPr>
          <w:p>
            <w:r/>
            <w:r>
              <w:rPr>
                <w:sz w:val="18"/>
              </w:rPr>
              <w:t>34013007800</w:t>
            </w:r>
          </w:p>
        </w:tc>
        <w:tc>
          <w:tcPr>
            <w:tcW w:type="dxa" w:w="1872"/>
          </w:tcPr>
          <w:p>
            <w:r/>
            <w:r>
              <w:rPr>
                <w:sz w:val="18"/>
              </w:rPr>
              <w:t>57%</w:t>
            </w:r>
          </w:p>
        </w:tc>
        <w:tc>
          <w:tcPr>
            <w:tcW w:type="dxa" w:w="1872"/>
          </w:tcPr>
          <w:p>
            <w:r/>
            <w:r>
              <w:rPr>
                <w:sz w:val="18"/>
              </w:rPr>
              <w:t>44%</w:t>
            </w:r>
          </w:p>
        </w:tc>
        <w:tc>
          <w:tcPr>
            <w:tcW w:type="dxa" w:w="1872"/>
          </w:tcPr>
          <w:p>
            <w:r/>
            <w:r>
              <w:rPr>
                <w:sz w:val="18"/>
              </w:rPr>
              <w:t>50%</w:t>
            </w:r>
          </w:p>
        </w:tc>
        <w:tc>
          <w:tcPr>
            <w:tcW w:type="dxa" w:w="1872"/>
          </w:tcPr>
          <w:p>
            <w:r/>
            <w:r>
              <w:rPr>
                <w:sz w:val="18"/>
              </w:rPr>
              <w:t>46</w:t>
            </w:r>
          </w:p>
        </w:tc>
      </w:tr>
      <w:tr>
        <w:tc>
          <w:tcPr>
            <w:tcW w:type="dxa" w:w="1872"/>
          </w:tcPr>
          <w:p>
            <w:r/>
            <w:r>
              <w:rPr>
                <w:sz w:val="18"/>
              </w:rPr>
              <w:t>34013007600</w:t>
            </w:r>
          </w:p>
        </w:tc>
        <w:tc>
          <w:tcPr>
            <w:tcW w:type="dxa" w:w="1872"/>
          </w:tcPr>
          <w:p>
            <w:r/>
            <w:r>
              <w:rPr>
                <w:sz w:val="18"/>
              </w:rPr>
              <w:t>49%</w:t>
            </w:r>
          </w:p>
        </w:tc>
        <w:tc>
          <w:tcPr>
            <w:tcW w:type="dxa" w:w="1872"/>
          </w:tcPr>
          <w:p>
            <w:r/>
            <w:r>
              <w:rPr>
                <w:sz w:val="18"/>
              </w:rPr>
              <w:t>54%</w:t>
            </w:r>
          </w:p>
        </w:tc>
        <w:tc>
          <w:tcPr>
            <w:tcW w:type="dxa" w:w="1872"/>
          </w:tcPr>
          <w:p>
            <w:r/>
            <w:r>
              <w:rPr>
                <w:sz w:val="18"/>
              </w:rPr>
              <w:t>53%</w:t>
            </w:r>
          </w:p>
        </w:tc>
        <w:tc>
          <w:tcPr>
            <w:tcW w:type="dxa" w:w="1872"/>
          </w:tcPr>
          <w:p>
            <w:r/>
            <w:r>
              <w:rPr>
                <w:sz w:val="18"/>
              </w:rPr>
              <w:t>46</w:t>
            </w:r>
          </w:p>
        </w:tc>
      </w:tr>
      <w:tr>
        <w:tc>
          <w:tcPr>
            <w:tcW w:type="dxa" w:w="1872"/>
          </w:tcPr>
          <w:p>
            <w:r/>
            <w:r>
              <w:rPr>
                <w:sz w:val="18"/>
              </w:rPr>
              <w:t>34013007501</w:t>
            </w:r>
          </w:p>
        </w:tc>
        <w:tc>
          <w:tcPr>
            <w:tcW w:type="dxa" w:w="1872"/>
          </w:tcPr>
          <w:p>
            <w:r/>
            <w:r>
              <w:rPr>
                <w:sz w:val="18"/>
              </w:rPr>
              <w:t>41%</w:t>
            </w:r>
          </w:p>
        </w:tc>
        <w:tc>
          <w:tcPr>
            <w:tcW w:type="dxa" w:w="1872"/>
          </w:tcPr>
          <w:p>
            <w:r/>
            <w:r>
              <w:rPr>
                <w:sz w:val="18"/>
              </w:rPr>
              <w:t>64%</w:t>
            </w:r>
          </w:p>
        </w:tc>
        <w:tc>
          <w:tcPr>
            <w:tcW w:type="dxa" w:w="1872"/>
          </w:tcPr>
          <w:p>
            <w:r/>
            <w:r>
              <w:rPr>
                <w:sz w:val="18"/>
              </w:rPr>
              <w:t>42%</w:t>
            </w:r>
          </w:p>
        </w:tc>
        <w:tc>
          <w:tcPr>
            <w:tcW w:type="dxa" w:w="1872"/>
          </w:tcPr>
          <w:p>
            <w:r/>
            <w:r>
              <w:rPr>
                <w:sz w:val="18"/>
              </w:rPr>
              <w:t>43</w:t>
            </w:r>
          </w:p>
        </w:tc>
      </w:tr>
      <w:tr>
        <w:tc>
          <w:tcPr>
            <w:tcW w:type="dxa" w:w="1872"/>
          </w:tcPr>
          <w:p>
            <w:r/>
            <w:r>
              <w:rPr>
                <w:sz w:val="18"/>
              </w:rPr>
              <w:t>34013006900</w:t>
            </w:r>
          </w:p>
        </w:tc>
        <w:tc>
          <w:tcPr>
            <w:tcW w:type="dxa" w:w="1872"/>
          </w:tcPr>
          <w:p>
            <w:r/>
            <w:r>
              <w:rPr>
                <w:sz w:val="18"/>
              </w:rPr>
              <w:t>45%</w:t>
            </w:r>
          </w:p>
        </w:tc>
        <w:tc>
          <w:tcPr>
            <w:tcW w:type="dxa" w:w="1872"/>
          </w:tcPr>
          <w:p>
            <w:r/>
            <w:r>
              <w:rPr>
                <w:sz w:val="18"/>
              </w:rPr>
              <w:t>41%</w:t>
            </w:r>
          </w:p>
        </w:tc>
        <w:tc>
          <w:tcPr>
            <w:tcW w:type="dxa" w:w="1872"/>
          </w:tcPr>
          <w:p>
            <w:r/>
            <w:r>
              <w:rPr>
                <w:sz w:val="18"/>
              </w:rPr>
              <w:t>50%</w:t>
            </w:r>
          </w:p>
        </w:tc>
        <w:tc>
          <w:tcPr>
            <w:tcW w:type="dxa" w:w="1872"/>
          </w:tcPr>
          <w:p>
            <w:r/>
            <w:r>
              <w:rPr>
                <w:sz w:val="18"/>
              </w:rPr>
              <w:t>43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Essex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