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sixth-highest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9.5% of Sussex County residents — about 13,860 people — live in food-insecure households, and 9.5%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20</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16</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15</w:t>
            </w:r>
          </w:p>
        </w:tc>
      </w:tr>
      <w:tr>
        <w:tc>
          <w:tcPr>
            <w:tcW w:type="dxa" w:w="1872"/>
          </w:tcPr>
          <w:p>
            <w:r/>
            <w:r>
              <w:rPr>
                <w:sz w:val="18"/>
              </w:rPr>
              <w:t>34037372700</w:t>
            </w:r>
          </w:p>
        </w:tc>
        <w:tc>
          <w:tcPr>
            <w:tcW w:type="dxa" w:w="1872"/>
          </w:tcPr>
          <w:p>
            <w:r/>
            <w:r>
              <w:rPr>
                <w:sz w:val="18"/>
              </w:rPr>
              <w:t>1%</w:t>
            </w:r>
          </w:p>
        </w:tc>
        <w:tc>
          <w:tcPr>
            <w:tcW w:type="dxa" w:w="1872"/>
          </w:tcPr>
          <w:p>
            <w:r/>
            <w:r>
              <w:rPr>
                <w:sz w:val="18"/>
              </w:rPr>
              <w:t>22%</w:t>
            </w:r>
          </w:p>
        </w:tc>
        <w:tc>
          <w:tcPr>
            <w:tcW w:type="dxa" w:w="1872"/>
          </w:tcPr>
          <w:p>
            <w:r/>
            <w:r>
              <w:rPr>
                <w:sz w:val="18"/>
              </w:rPr>
              <w:t>9%</w:t>
            </w:r>
          </w:p>
        </w:tc>
        <w:tc>
          <w:tcPr>
            <w:tcW w:type="dxa" w:w="1872"/>
          </w:tcPr>
          <w:p>
            <w:r/>
            <w:r>
              <w:rPr>
                <w:sz w:val="18"/>
              </w:rPr>
              <w:t>13</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Sussex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