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 xml:space="preserve">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w:t>
      </w:r>
      <w:r>
        <w:lastRenderedPageBreak/>
        <w:t>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lastRenderedPageBreak/>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lastRenderedPageBreak/>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xml:space="preserve">, техника синхронного режима передачи. Каждому соединению выделяется квант времени работы аппаратуры, </w:t>
      </w:r>
      <w:r>
        <w:lastRenderedPageBreak/>
        <w:t>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lastRenderedPageBreak/>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w:t>
      </w:r>
      <w:r>
        <w:lastRenderedPageBreak/>
        <w:t xml:space="preserve">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w:t>
      </w:r>
      <w:r>
        <w:lastRenderedPageBreak/>
        <w:t>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lastRenderedPageBreak/>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lastRenderedPageBreak/>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lastRenderedPageBreak/>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lastRenderedPageBreak/>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lastRenderedPageBreak/>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lastRenderedPageBreak/>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lastRenderedPageBreak/>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lastRenderedPageBreak/>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lastRenderedPageBreak/>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w:t>
      </w:r>
      <w:r>
        <w:lastRenderedPageBreak/>
        <w:t xml:space="preserve">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w:t>
      </w:r>
      <w:r>
        <w:lastRenderedPageBreak/>
        <w:t xml:space="preserve">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w:t>
      </w:r>
      <w:r>
        <w:lastRenderedPageBreak/>
        <w:t xml:space="preserve">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lastRenderedPageBreak/>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lastRenderedPageBreak/>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lastRenderedPageBreak/>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lastRenderedPageBreak/>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 xml:space="preserve">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w:t>
      </w:r>
      <w:r>
        <w:lastRenderedPageBreak/>
        <w:t>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lastRenderedPageBreak/>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lastRenderedPageBreak/>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lastRenderedPageBreak/>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lastRenderedPageBreak/>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 xml:space="preserve">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w:t>
      </w:r>
      <w:r>
        <w:lastRenderedPageBreak/>
        <w:t>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w:t>
      </w:r>
      <w:r>
        <w:lastRenderedPageBreak/>
        <w:t>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lastRenderedPageBreak/>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lastRenderedPageBreak/>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0B55BF" w:rsidRDefault="005C0726" w:rsidP="005C0726">
      <w:pPr>
        <w:ind w:firstLine="708"/>
      </w:pPr>
      <w:r>
        <w:t xml:space="preserve">Поле опций не обязательно и обычно используется для настройки сети. </w:t>
      </w:r>
    </w:p>
    <w:p w:rsidR="005C0726" w:rsidRDefault="005C0726" w:rsidP="005C0726">
      <w:r>
        <w:t>16.11</w:t>
      </w:r>
    </w:p>
    <w:p w:rsidR="005C0726" w:rsidRPr="00621B76" w:rsidRDefault="005C0726" w:rsidP="005C0726">
      <w:pPr>
        <w:ind w:firstLine="708"/>
      </w:pPr>
    </w:p>
    <w:p w:rsidR="005C0726" w:rsidRPr="00352DE4" w:rsidRDefault="005C0726" w:rsidP="005C0726">
      <w:pPr>
        <w:ind w:firstLine="708"/>
      </w:pPr>
    </w:p>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w:t>
      </w:r>
      <w:r>
        <w:lastRenderedPageBreak/>
        <w:t xml:space="preserve">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Мультипроцессорные компьютеры – территориальную распределенность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lastRenderedPageBreak/>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r>
        <w:t>Полносвязная – все со всеми</w:t>
      </w:r>
    </w:p>
    <w:p w:rsidR="005C0726" w:rsidRDefault="005C0726" w:rsidP="005C0726">
      <w:pPr>
        <w:pStyle w:val="a3"/>
        <w:numPr>
          <w:ilvl w:val="0"/>
          <w:numId w:val="4"/>
        </w:numPr>
      </w:pPr>
      <w:r>
        <w:t>Ячеистая – получается из полносвязной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lastRenderedPageBreak/>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lastRenderedPageBreak/>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техника синхронного режима передачи. Каждому соединению выделяется квант времени работы аппаратуры, 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lastRenderedPageBreak/>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lastRenderedPageBreak/>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приоритезация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(флуд).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lastRenderedPageBreak/>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одномаршрутный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распространяясь по всем кольцам сети, доходит до станции назначения. В ответ станция назначения возвращает многомаршрутный широковещательный кадр исследователь. В отличие от кадра одномаршрутного широкомаршрутный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w:t>
      </w:r>
      <w:r>
        <w:lastRenderedPageBreak/>
        <w:t xml:space="preserve">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микросегментацией.</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lastRenderedPageBreak/>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lastRenderedPageBreak/>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D51B6A" w:rsidRDefault="005C0726" w:rsidP="00FB55BB">
      <w:pPr>
        <w:ind w:firstLine="708"/>
      </w:pPr>
      <w:r>
        <w:t xml:space="preserve">Поле опций не обязательно и обычно используется для настройки сети. </w:t>
      </w:r>
    </w:p>
    <w:p w:rsidR="00FB55BB" w:rsidRPr="00D51B6A" w:rsidRDefault="00FB55BB" w:rsidP="00FB55BB">
      <w:pPr>
        <w:ind w:firstLine="708"/>
      </w:pPr>
      <w:bookmarkStart w:id="0" w:name="_GoBack"/>
      <w:bookmarkEnd w:id="0"/>
    </w:p>
    <w:sectPr w:rsidR="00FB55BB" w:rsidRPr="00D51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0418"/>
    <w:multiLevelType w:val="hybridMultilevel"/>
    <w:tmpl w:val="67686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55106"/>
    <w:multiLevelType w:val="hybridMultilevel"/>
    <w:tmpl w:val="C5CCC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42571"/>
    <w:multiLevelType w:val="hybridMultilevel"/>
    <w:tmpl w:val="C47EC5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145634"/>
    <w:multiLevelType w:val="hybridMultilevel"/>
    <w:tmpl w:val="FAA42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C50534"/>
    <w:multiLevelType w:val="hybridMultilevel"/>
    <w:tmpl w:val="5DDEA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C27E6"/>
    <w:multiLevelType w:val="hybridMultilevel"/>
    <w:tmpl w:val="711EF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6B1EBC"/>
    <w:multiLevelType w:val="hybridMultilevel"/>
    <w:tmpl w:val="F92A5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B343FB"/>
    <w:multiLevelType w:val="hybridMultilevel"/>
    <w:tmpl w:val="02944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C62CD2"/>
    <w:multiLevelType w:val="hybridMultilevel"/>
    <w:tmpl w:val="CEC4D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E82ABC"/>
    <w:multiLevelType w:val="hybridMultilevel"/>
    <w:tmpl w:val="A612A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0C6711"/>
    <w:multiLevelType w:val="hybridMultilevel"/>
    <w:tmpl w:val="12C6A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005512"/>
    <w:multiLevelType w:val="hybridMultilevel"/>
    <w:tmpl w:val="0A047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E40470"/>
    <w:multiLevelType w:val="hybridMultilevel"/>
    <w:tmpl w:val="4DE49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BD5E98"/>
    <w:multiLevelType w:val="hybridMultilevel"/>
    <w:tmpl w:val="CAE06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B94520"/>
    <w:multiLevelType w:val="hybridMultilevel"/>
    <w:tmpl w:val="3612C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0B75A3"/>
    <w:multiLevelType w:val="hybridMultilevel"/>
    <w:tmpl w:val="2A2890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A819FA"/>
    <w:multiLevelType w:val="hybridMultilevel"/>
    <w:tmpl w:val="620487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B64AA9"/>
    <w:multiLevelType w:val="hybridMultilevel"/>
    <w:tmpl w:val="62E6A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B531B1"/>
    <w:multiLevelType w:val="hybridMultilevel"/>
    <w:tmpl w:val="EDB03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DF6FB2"/>
    <w:multiLevelType w:val="hybridMultilevel"/>
    <w:tmpl w:val="6D1E7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692047"/>
    <w:multiLevelType w:val="hybridMultilevel"/>
    <w:tmpl w:val="D5CC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9"/>
  </w:num>
  <w:num w:numId="3">
    <w:abstractNumId w:val="0"/>
  </w:num>
  <w:num w:numId="4">
    <w:abstractNumId w:val="20"/>
  </w:num>
  <w:num w:numId="5">
    <w:abstractNumId w:val="13"/>
  </w:num>
  <w:num w:numId="6">
    <w:abstractNumId w:val="15"/>
  </w:num>
  <w:num w:numId="7">
    <w:abstractNumId w:val="5"/>
  </w:num>
  <w:num w:numId="8">
    <w:abstractNumId w:val="12"/>
  </w:num>
  <w:num w:numId="9">
    <w:abstractNumId w:val="16"/>
  </w:num>
  <w:num w:numId="10">
    <w:abstractNumId w:val="9"/>
  </w:num>
  <w:num w:numId="11">
    <w:abstractNumId w:val="8"/>
  </w:num>
  <w:num w:numId="12">
    <w:abstractNumId w:val="14"/>
  </w:num>
  <w:num w:numId="13">
    <w:abstractNumId w:val="17"/>
  </w:num>
  <w:num w:numId="14">
    <w:abstractNumId w:val="6"/>
  </w:num>
  <w:num w:numId="15">
    <w:abstractNumId w:val="1"/>
  </w:num>
  <w:num w:numId="16">
    <w:abstractNumId w:val="18"/>
  </w:num>
  <w:num w:numId="17">
    <w:abstractNumId w:val="11"/>
  </w:num>
  <w:num w:numId="18">
    <w:abstractNumId w:val="2"/>
  </w:num>
  <w:num w:numId="19">
    <w:abstractNumId w:val="7"/>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80"/>
    <w:rsid w:val="000025B0"/>
    <w:rsid w:val="00003093"/>
    <w:rsid w:val="00023E31"/>
    <w:rsid w:val="00031BE1"/>
    <w:rsid w:val="00032FFC"/>
    <w:rsid w:val="00040322"/>
    <w:rsid w:val="00046E5E"/>
    <w:rsid w:val="000615F6"/>
    <w:rsid w:val="00067B3A"/>
    <w:rsid w:val="0007285B"/>
    <w:rsid w:val="00075354"/>
    <w:rsid w:val="0008306C"/>
    <w:rsid w:val="00083D11"/>
    <w:rsid w:val="0008587A"/>
    <w:rsid w:val="00090298"/>
    <w:rsid w:val="000905ED"/>
    <w:rsid w:val="00093211"/>
    <w:rsid w:val="00093DF3"/>
    <w:rsid w:val="000A01D0"/>
    <w:rsid w:val="000A056B"/>
    <w:rsid w:val="000A290E"/>
    <w:rsid w:val="000A36ED"/>
    <w:rsid w:val="000A46F4"/>
    <w:rsid w:val="000A4E3E"/>
    <w:rsid w:val="000B0409"/>
    <w:rsid w:val="000B0F54"/>
    <w:rsid w:val="000B449F"/>
    <w:rsid w:val="000B55BF"/>
    <w:rsid w:val="000B572E"/>
    <w:rsid w:val="000B5A91"/>
    <w:rsid w:val="000B7187"/>
    <w:rsid w:val="000C13FB"/>
    <w:rsid w:val="000C47BE"/>
    <w:rsid w:val="000C481D"/>
    <w:rsid w:val="000D0A7F"/>
    <w:rsid w:val="000D3F46"/>
    <w:rsid w:val="000D5520"/>
    <w:rsid w:val="000E34B1"/>
    <w:rsid w:val="000E3B01"/>
    <w:rsid w:val="000E3D2F"/>
    <w:rsid w:val="000F71DD"/>
    <w:rsid w:val="000F7A2A"/>
    <w:rsid w:val="00106189"/>
    <w:rsid w:val="00107302"/>
    <w:rsid w:val="001146BB"/>
    <w:rsid w:val="0011516E"/>
    <w:rsid w:val="00127511"/>
    <w:rsid w:val="001278A8"/>
    <w:rsid w:val="001316D6"/>
    <w:rsid w:val="001429AC"/>
    <w:rsid w:val="00147CEB"/>
    <w:rsid w:val="0015123E"/>
    <w:rsid w:val="00160D73"/>
    <w:rsid w:val="00165036"/>
    <w:rsid w:val="0018380F"/>
    <w:rsid w:val="00187649"/>
    <w:rsid w:val="001A3972"/>
    <w:rsid w:val="001B48CB"/>
    <w:rsid w:val="001C202F"/>
    <w:rsid w:val="001C362F"/>
    <w:rsid w:val="001C3981"/>
    <w:rsid w:val="001C4127"/>
    <w:rsid w:val="001C6589"/>
    <w:rsid w:val="001D0B83"/>
    <w:rsid w:val="001E3EBB"/>
    <w:rsid w:val="001E664B"/>
    <w:rsid w:val="001E6A36"/>
    <w:rsid w:val="001F29B8"/>
    <w:rsid w:val="001F3636"/>
    <w:rsid w:val="002040D2"/>
    <w:rsid w:val="00205B72"/>
    <w:rsid w:val="00205E60"/>
    <w:rsid w:val="00206B5E"/>
    <w:rsid w:val="0020799F"/>
    <w:rsid w:val="00211551"/>
    <w:rsid w:val="00214155"/>
    <w:rsid w:val="00214F69"/>
    <w:rsid w:val="00217B8E"/>
    <w:rsid w:val="002208C2"/>
    <w:rsid w:val="0022493A"/>
    <w:rsid w:val="00225505"/>
    <w:rsid w:val="0023683C"/>
    <w:rsid w:val="00244095"/>
    <w:rsid w:val="00244FC8"/>
    <w:rsid w:val="00262F5F"/>
    <w:rsid w:val="00263CE4"/>
    <w:rsid w:val="002754BB"/>
    <w:rsid w:val="002762DE"/>
    <w:rsid w:val="002774FE"/>
    <w:rsid w:val="0027764E"/>
    <w:rsid w:val="00282BC4"/>
    <w:rsid w:val="00287DC0"/>
    <w:rsid w:val="00287E50"/>
    <w:rsid w:val="00287F2E"/>
    <w:rsid w:val="00290457"/>
    <w:rsid w:val="00291FCE"/>
    <w:rsid w:val="00296402"/>
    <w:rsid w:val="002A096E"/>
    <w:rsid w:val="002A3A83"/>
    <w:rsid w:val="002A48F3"/>
    <w:rsid w:val="002A5C63"/>
    <w:rsid w:val="002D2626"/>
    <w:rsid w:val="002E0162"/>
    <w:rsid w:val="002E0651"/>
    <w:rsid w:val="002E5A01"/>
    <w:rsid w:val="002F34E7"/>
    <w:rsid w:val="002F6370"/>
    <w:rsid w:val="003017BF"/>
    <w:rsid w:val="00301CBB"/>
    <w:rsid w:val="00304E82"/>
    <w:rsid w:val="00310A51"/>
    <w:rsid w:val="00313961"/>
    <w:rsid w:val="003161E4"/>
    <w:rsid w:val="00317946"/>
    <w:rsid w:val="0033079A"/>
    <w:rsid w:val="00331182"/>
    <w:rsid w:val="003471E7"/>
    <w:rsid w:val="00352DE4"/>
    <w:rsid w:val="00357243"/>
    <w:rsid w:val="00360BA0"/>
    <w:rsid w:val="00380E22"/>
    <w:rsid w:val="00391174"/>
    <w:rsid w:val="003918EA"/>
    <w:rsid w:val="0039425F"/>
    <w:rsid w:val="003A09E1"/>
    <w:rsid w:val="003A292D"/>
    <w:rsid w:val="003B0F45"/>
    <w:rsid w:val="003B109F"/>
    <w:rsid w:val="003B1263"/>
    <w:rsid w:val="003B2259"/>
    <w:rsid w:val="003C00A3"/>
    <w:rsid w:val="003C1CF5"/>
    <w:rsid w:val="003D26C8"/>
    <w:rsid w:val="003D57DE"/>
    <w:rsid w:val="003D7914"/>
    <w:rsid w:val="003D7C86"/>
    <w:rsid w:val="003E6F79"/>
    <w:rsid w:val="003F508C"/>
    <w:rsid w:val="003F7D6C"/>
    <w:rsid w:val="004017DB"/>
    <w:rsid w:val="0041048D"/>
    <w:rsid w:val="0041259F"/>
    <w:rsid w:val="00416CAA"/>
    <w:rsid w:val="004206BC"/>
    <w:rsid w:val="0042646A"/>
    <w:rsid w:val="00427E76"/>
    <w:rsid w:val="00430923"/>
    <w:rsid w:val="004353E3"/>
    <w:rsid w:val="004401F8"/>
    <w:rsid w:val="00445248"/>
    <w:rsid w:val="0044749B"/>
    <w:rsid w:val="0045147A"/>
    <w:rsid w:val="00452C94"/>
    <w:rsid w:val="00452FA5"/>
    <w:rsid w:val="00463649"/>
    <w:rsid w:val="00466093"/>
    <w:rsid w:val="00466CBD"/>
    <w:rsid w:val="00484805"/>
    <w:rsid w:val="00484C89"/>
    <w:rsid w:val="00490FD9"/>
    <w:rsid w:val="0049451B"/>
    <w:rsid w:val="004A6F8B"/>
    <w:rsid w:val="004B5712"/>
    <w:rsid w:val="004B67BC"/>
    <w:rsid w:val="004B71D8"/>
    <w:rsid w:val="004C7416"/>
    <w:rsid w:val="004D0051"/>
    <w:rsid w:val="004D0FD6"/>
    <w:rsid w:val="004D36F9"/>
    <w:rsid w:val="004E5E36"/>
    <w:rsid w:val="004F1CB2"/>
    <w:rsid w:val="004F1D2F"/>
    <w:rsid w:val="004F29E2"/>
    <w:rsid w:val="004F57D1"/>
    <w:rsid w:val="004F5E9A"/>
    <w:rsid w:val="0050595C"/>
    <w:rsid w:val="00510E67"/>
    <w:rsid w:val="005164CF"/>
    <w:rsid w:val="00516B71"/>
    <w:rsid w:val="00516FCF"/>
    <w:rsid w:val="00517BC3"/>
    <w:rsid w:val="0052697A"/>
    <w:rsid w:val="00530509"/>
    <w:rsid w:val="00531825"/>
    <w:rsid w:val="00531E93"/>
    <w:rsid w:val="00534072"/>
    <w:rsid w:val="00534885"/>
    <w:rsid w:val="00540E51"/>
    <w:rsid w:val="00546C5D"/>
    <w:rsid w:val="00551913"/>
    <w:rsid w:val="005612AD"/>
    <w:rsid w:val="0056592E"/>
    <w:rsid w:val="00571A22"/>
    <w:rsid w:val="00574427"/>
    <w:rsid w:val="0057546F"/>
    <w:rsid w:val="0057642F"/>
    <w:rsid w:val="00577177"/>
    <w:rsid w:val="0058249A"/>
    <w:rsid w:val="00592645"/>
    <w:rsid w:val="00595EF5"/>
    <w:rsid w:val="00596F5F"/>
    <w:rsid w:val="005B0204"/>
    <w:rsid w:val="005B0B82"/>
    <w:rsid w:val="005B4132"/>
    <w:rsid w:val="005B5AA8"/>
    <w:rsid w:val="005B5FBB"/>
    <w:rsid w:val="005B638F"/>
    <w:rsid w:val="005B7D7E"/>
    <w:rsid w:val="005C0726"/>
    <w:rsid w:val="005C3F8D"/>
    <w:rsid w:val="005C4DE5"/>
    <w:rsid w:val="005E0E7A"/>
    <w:rsid w:val="005E3988"/>
    <w:rsid w:val="005E7CD4"/>
    <w:rsid w:val="005F4949"/>
    <w:rsid w:val="005F780A"/>
    <w:rsid w:val="00601690"/>
    <w:rsid w:val="0060457C"/>
    <w:rsid w:val="00604765"/>
    <w:rsid w:val="00611B9B"/>
    <w:rsid w:val="006147BB"/>
    <w:rsid w:val="00620D4B"/>
    <w:rsid w:val="00621B76"/>
    <w:rsid w:val="0062570F"/>
    <w:rsid w:val="006259C8"/>
    <w:rsid w:val="00626FF5"/>
    <w:rsid w:val="00636C2A"/>
    <w:rsid w:val="00653C40"/>
    <w:rsid w:val="006578F7"/>
    <w:rsid w:val="00664530"/>
    <w:rsid w:val="00665F28"/>
    <w:rsid w:val="0067160E"/>
    <w:rsid w:val="0067409F"/>
    <w:rsid w:val="00681524"/>
    <w:rsid w:val="00687CFB"/>
    <w:rsid w:val="006959E0"/>
    <w:rsid w:val="006A1E0D"/>
    <w:rsid w:val="006A357E"/>
    <w:rsid w:val="006A4E82"/>
    <w:rsid w:val="006A760B"/>
    <w:rsid w:val="006B005C"/>
    <w:rsid w:val="006B5F52"/>
    <w:rsid w:val="006B7C51"/>
    <w:rsid w:val="006D09BB"/>
    <w:rsid w:val="006D1262"/>
    <w:rsid w:val="006D7351"/>
    <w:rsid w:val="006E2A29"/>
    <w:rsid w:val="00700AAA"/>
    <w:rsid w:val="00704F68"/>
    <w:rsid w:val="007146AB"/>
    <w:rsid w:val="00714DA1"/>
    <w:rsid w:val="00714DF5"/>
    <w:rsid w:val="00715544"/>
    <w:rsid w:val="0072289F"/>
    <w:rsid w:val="0072511C"/>
    <w:rsid w:val="00731B35"/>
    <w:rsid w:val="00732F6D"/>
    <w:rsid w:val="0073462B"/>
    <w:rsid w:val="007347B4"/>
    <w:rsid w:val="00737C82"/>
    <w:rsid w:val="007474DC"/>
    <w:rsid w:val="00760CC9"/>
    <w:rsid w:val="00767C3D"/>
    <w:rsid w:val="00767C86"/>
    <w:rsid w:val="00770F68"/>
    <w:rsid w:val="00782AA5"/>
    <w:rsid w:val="00783E13"/>
    <w:rsid w:val="00797837"/>
    <w:rsid w:val="007A415D"/>
    <w:rsid w:val="007A4531"/>
    <w:rsid w:val="007B66D8"/>
    <w:rsid w:val="007B6C33"/>
    <w:rsid w:val="007B7437"/>
    <w:rsid w:val="007C79CE"/>
    <w:rsid w:val="007D3CCD"/>
    <w:rsid w:val="007D5B3B"/>
    <w:rsid w:val="007D7330"/>
    <w:rsid w:val="007E6011"/>
    <w:rsid w:val="007F2904"/>
    <w:rsid w:val="007F4F9C"/>
    <w:rsid w:val="007F528F"/>
    <w:rsid w:val="007F57FE"/>
    <w:rsid w:val="007F5C35"/>
    <w:rsid w:val="00800484"/>
    <w:rsid w:val="00811DF5"/>
    <w:rsid w:val="00814173"/>
    <w:rsid w:val="008207F8"/>
    <w:rsid w:val="00820D3D"/>
    <w:rsid w:val="00824ECC"/>
    <w:rsid w:val="00825D5C"/>
    <w:rsid w:val="008261DA"/>
    <w:rsid w:val="00834460"/>
    <w:rsid w:val="00841ED1"/>
    <w:rsid w:val="008465E7"/>
    <w:rsid w:val="008510AA"/>
    <w:rsid w:val="00856C44"/>
    <w:rsid w:val="0086173F"/>
    <w:rsid w:val="00861C33"/>
    <w:rsid w:val="008720A8"/>
    <w:rsid w:val="008861D6"/>
    <w:rsid w:val="00895E77"/>
    <w:rsid w:val="008A7A76"/>
    <w:rsid w:val="008B0D2E"/>
    <w:rsid w:val="008B0D4E"/>
    <w:rsid w:val="008B0E93"/>
    <w:rsid w:val="008B46A3"/>
    <w:rsid w:val="008C0FB7"/>
    <w:rsid w:val="008C0FC3"/>
    <w:rsid w:val="008C2AF3"/>
    <w:rsid w:val="008C5075"/>
    <w:rsid w:val="008C6632"/>
    <w:rsid w:val="008C7190"/>
    <w:rsid w:val="008D034D"/>
    <w:rsid w:val="008D252D"/>
    <w:rsid w:val="008E0102"/>
    <w:rsid w:val="008E3693"/>
    <w:rsid w:val="008E5982"/>
    <w:rsid w:val="008F3592"/>
    <w:rsid w:val="008F4CED"/>
    <w:rsid w:val="008F5153"/>
    <w:rsid w:val="0090101F"/>
    <w:rsid w:val="00906206"/>
    <w:rsid w:val="009147C4"/>
    <w:rsid w:val="0092043D"/>
    <w:rsid w:val="00920E8E"/>
    <w:rsid w:val="00925E1D"/>
    <w:rsid w:val="00931951"/>
    <w:rsid w:val="00937053"/>
    <w:rsid w:val="00942AF1"/>
    <w:rsid w:val="0095669E"/>
    <w:rsid w:val="00956D3F"/>
    <w:rsid w:val="00962973"/>
    <w:rsid w:val="009629E8"/>
    <w:rsid w:val="00964711"/>
    <w:rsid w:val="00970749"/>
    <w:rsid w:val="009812BA"/>
    <w:rsid w:val="00992435"/>
    <w:rsid w:val="009A74C3"/>
    <w:rsid w:val="009B71B8"/>
    <w:rsid w:val="009B7511"/>
    <w:rsid w:val="009C07AA"/>
    <w:rsid w:val="009C4493"/>
    <w:rsid w:val="009C74CA"/>
    <w:rsid w:val="009C7A53"/>
    <w:rsid w:val="009D0EED"/>
    <w:rsid w:val="009D2EDE"/>
    <w:rsid w:val="009D6630"/>
    <w:rsid w:val="009E471E"/>
    <w:rsid w:val="009E6470"/>
    <w:rsid w:val="009E6A2E"/>
    <w:rsid w:val="009F5922"/>
    <w:rsid w:val="009F6584"/>
    <w:rsid w:val="009F6F4B"/>
    <w:rsid w:val="009F70FB"/>
    <w:rsid w:val="00A0320C"/>
    <w:rsid w:val="00A03C09"/>
    <w:rsid w:val="00A16849"/>
    <w:rsid w:val="00A2346E"/>
    <w:rsid w:val="00A248DC"/>
    <w:rsid w:val="00A25447"/>
    <w:rsid w:val="00A26BD9"/>
    <w:rsid w:val="00A30070"/>
    <w:rsid w:val="00A30145"/>
    <w:rsid w:val="00A51221"/>
    <w:rsid w:val="00A61713"/>
    <w:rsid w:val="00A64998"/>
    <w:rsid w:val="00A83C09"/>
    <w:rsid w:val="00A848FE"/>
    <w:rsid w:val="00A905B7"/>
    <w:rsid w:val="00A91791"/>
    <w:rsid w:val="00A930C1"/>
    <w:rsid w:val="00AA0AE7"/>
    <w:rsid w:val="00AA1D4C"/>
    <w:rsid w:val="00AB7321"/>
    <w:rsid w:val="00AB7662"/>
    <w:rsid w:val="00AB7885"/>
    <w:rsid w:val="00AC29B2"/>
    <w:rsid w:val="00AD05A6"/>
    <w:rsid w:val="00AD12EB"/>
    <w:rsid w:val="00AD5027"/>
    <w:rsid w:val="00AD7900"/>
    <w:rsid w:val="00AE06FA"/>
    <w:rsid w:val="00AE5C0E"/>
    <w:rsid w:val="00AE792A"/>
    <w:rsid w:val="00AF0555"/>
    <w:rsid w:val="00AF2772"/>
    <w:rsid w:val="00AF342B"/>
    <w:rsid w:val="00AF4497"/>
    <w:rsid w:val="00AF5EE7"/>
    <w:rsid w:val="00B02127"/>
    <w:rsid w:val="00B02DB6"/>
    <w:rsid w:val="00B07C9B"/>
    <w:rsid w:val="00B10990"/>
    <w:rsid w:val="00B203A8"/>
    <w:rsid w:val="00B21C78"/>
    <w:rsid w:val="00B301D7"/>
    <w:rsid w:val="00B30D66"/>
    <w:rsid w:val="00B318F9"/>
    <w:rsid w:val="00B342B7"/>
    <w:rsid w:val="00B36AF1"/>
    <w:rsid w:val="00B4121A"/>
    <w:rsid w:val="00B44A58"/>
    <w:rsid w:val="00B47F69"/>
    <w:rsid w:val="00B5344A"/>
    <w:rsid w:val="00B55408"/>
    <w:rsid w:val="00B55DAA"/>
    <w:rsid w:val="00B57BEB"/>
    <w:rsid w:val="00B60AA7"/>
    <w:rsid w:val="00B63D7E"/>
    <w:rsid w:val="00B72F95"/>
    <w:rsid w:val="00B8204B"/>
    <w:rsid w:val="00B82686"/>
    <w:rsid w:val="00B8447D"/>
    <w:rsid w:val="00B852B8"/>
    <w:rsid w:val="00B871AE"/>
    <w:rsid w:val="00B87498"/>
    <w:rsid w:val="00B91598"/>
    <w:rsid w:val="00B95114"/>
    <w:rsid w:val="00BA1668"/>
    <w:rsid w:val="00BA2B1B"/>
    <w:rsid w:val="00BA4F69"/>
    <w:rsid w:val="00BA6F45"/>
    <w:rsid w:val="00BB5446"/>
    <w:rsid w:val="00BC1962"/>
    <w:rsid w:val="00BC629E"/>
    <w:rsid w:val="00BC749C"/>
    <w:rsid w:val="00BC7AC8"/>
    <w:rsid w:val="00BD4370"/>
    <w:rsid w:val="00BD6368"/>
    <w:rsid w:val="00BE3600"/>
    <w:rsid w:val="00BE39BA"/>
    <w:rsid w:val="00BE6596"/>
    <w:rsid w:val="00C03AB3"/>
    <w:rsid w:val="00C03BC8"/>
    <w:rsid w:val="00C117D1"/>
    <w:rsid w:val="00C11BD2"/>
    <w:rsid w:val="00C12897"/>
    <w:rsid w:val="00C2465F"/>
    <w:rsid w:val="00C25FFC"/>
    <w:rsid w:val="00C31A52"/>
    <w:rsid w:val="00C321EA"/>
    <w:rsid w:val="00C35F53"/>
    <w:rsid w:val="00C42E0A"/>
    <w:rsid w:val="00C4583E"/>
    <w:rsid w:val="00C512B3"/>
    <w:rsid w:val="00C548FE"/>
    <w:rsid w:val="00C5660F"/>
    <w:rsid w:val="00C56FD0"/>
    <w:rsid w:val="00C57BE5"/>
    <w:rsid w:val="00C675B8"/>
    <w:rsid w:val="00C7366B"/>
    <w:rsid w:val="00C842AD"/>
    <w:rsid w:val="00C944D1"/>
    <w:rsid w:val="00C95519"/>
    <w:rsid w:val="00CA622B"/>
    <w:rsid w:val="00CA7996"/>
    <w:rsid w:val="00CB3391"/>
    <w:rsid w:val="00CB5115"/>
    <w:rsid w:val="00CC3194"/>
    <w:rsid w:val="00CC3B26"/>
    <w:rsid w:val="00CD3D1C"/>
    <w:rsid w:val="00CD7FC9"/>
    <w:rsid w:val="00CE4F9B"/>
    <w:rsid w:val="00CE5C6D"/>
    <w:rsid w:val="00CE7105"/>
    <w:rsid w:val="00CF1064"/>
    <w:rsid w:val="00CF31DC"/>
    <w:rsid w:val="00CF3962"/>
    <w:rsid w:val="00CF5431"/>
    <w:rsid w:val="00CF669E"/>
    <w:rsid w:val="00CF66D9"/>
    <w:rsid w:val="00D016F3"/>
    <w:rsid w:val="00D07BB7"/>
    <w:rsid w:val="00D07DBF"/>
    <w:rsid w:val="00D12731"/>
    <w:rsid w:val="00D15526"/>
    <w:rsid w:val="00D1592D"/>
    <w:rsid w:val="00D21359"/>
    <w:rsid w:val="00D21593"/>
    <w:rsid w:val="00D23265"/>
    <w:rsid w:val="00D34902"/>
    <w:rsid w:val="00D4212B"/>
    <w:rsid w:val="00D443E0"/>
    <w:rsid w:val="00D454CC"/>
    <w:rsid w:val="00D51B6A"/>
    <w:rsid w:val="00D5692F"/>
    <w:rsid w:val="00D56A25"/>
    <w:rsid w:val="00D61E1F"/>
    <w:rsid w:val="00D656EF"/>
    <w:rsid w:val="00D65C2C"/>
    <w:rsid w:val="00D6685E"/>
    <w:rsid w:val="00D769F7"/>
    <w:rsid w:val="00D820D2"/>
    <w:rsid w:val="00D82252"/>
    <w:rsid w:val="00D85A51"/>
    <w:rsid w:val="00D904C4"/>
    <w:rsid w:val="00D90980"/>
    <w:rsid w:val="00D90E08"/>
    <w:rsid w:val="00DA2852"/>
    <w:rsid w:val="00DA6FCF"/>
    <w:rsid w:val="00DB0A09"/>
    <w:rsid w:val="00DB29EC"/>
    <w:rsid w:val="00DB35BA"/>
    <w:rsid w:val="00DB6CFD"/>
    <w:rsid w:val="00DC2E27"/>
    <w:rsid w:val="00DC4500"/>
    <w:rsid w:val="00DC54CC"/>
    <w:rsid w:val="00DC6152"/>
    <w:rsid w:val="00DD315E"/>
    <w:rsid w:val="00DD366E"/>
    <w:rsid w:val="00DD5CDA"/>
    <w:rsid w:val="00DD78A4"/>
    <w:rsid w:val="00DE70B7"/>
    <w:rsid w:val="00DF3356"/>
    <w:rsid w:val="00E02654"/>
    <w:rsid w:val="00E032AD"/>
    <w:rsid w:val="00E11B5A"/>
    <w:rsid w:val="00E12A8A"/>
    <w:rsid w:val="00E13194"/>
    <w:rsid w:val="00E20FF7"/>
    <w:rsid w:val="00E22CEA"/>
    <w:rsid w:val="00E2692F"/>
    <w:rsid w:val="00E3183A"/>
    <w:rsid w:val="00E31EA2"/>
    <w:rsid w:val="00E320EF"/>
    <w:rsid w:val="00E32D01"/>
    <w:rsid w:val="00E33C04"/>
    <w:rsid w:val="00E34C6A"/>
    <w:rsid w:val="00E42086"/>
    <w:rsid w:val="00E4237C"/>
    <w:rsid w:val="00E42BE4"/>
    <w:rsid w:val="00E543E9"/>
    <w:rsid w:val="00E55BD6"/>
    <w:rsid w:val="00E56DD8"/>
    <w:rsid w:val="00E6417C"/>
    <w:rsid w:val="00E643E9"/>
    <w:rsid w:val="00E65254"/>
    <w:rsid w:val="00E655CE"/>
    <w:rsid w:val="00E66B0E"/>
    <w:rsid w:val="00E764F7"/>
    <w:rsid w:val="00E7725B"/>
    <w:rsid w:val="00E83FFB"/>
    <w:rsid w:val="00E91D08"/>
    <w:rsid w:val="00E93C78"/>
    <w:rsid w:val="00E948B7"/>
    <w:rsid w:val="00E9700B"/>
    <w:rsid w:val="00EA0DA2"/>
    <w:rsid w:val="00EA0E12"/>
    <w:rsid w:val="00EA26BE"/>
    <w:rsid w:val="00EB060D"/>
    <w:rsid w:val="00EB0B20"/>
    <w:rsid w:val="00EB3292"/>
    <w:rsid w:val="00EB32AF"/>
    <w:rsid w:val="00EC1257"/>
    <w:rsid w:val="00EC391F"/>
    <w:rsid w:val="00EC756D"/>
    <w:rsid w:val="00EC7C18"/>
    <w:rsid w:val="00ED1711"/>
    <w:rsid w:val="00ED2EFC"/>
    <w:rsid w:val="00ED71EB"/>
    <w:rsid w:val="00EE0062"/>
    <w:rsid w:val="00EE1222"/>
    <w:rsid w:val="00EE1A07"/>
    <w:rsid w:val="00EE47C1"/>
    <w:rsid w:val="00EE5CCC"/>
    <w:rsid w:val="00F0435D"/>
    <w:rsid w:val="00F0599B"/>
    <w:rsid w:val="00F1136D"/>
    <w:rsid w:val="00F11667"/>
    <w:rsid w:val="00F21298"/>
    <w:rsid w:val="00F2254C"/>
    <w:rsid w:val="00F2490E"/>
    <w:rsid w:val="00F24B13"/>
    <w:rsid w:val="00F25EF0"/>
    <w:rsid w:val="00F318F7"/>
    <w:rsid w:val="00F33079"/>
    <w:rsid w:val="00F367F3"/>
    <w:rsid w:val="00F37C81"/>
    <w:rsid w:val="00F540EC"/>
    <w:rsid w:val="00F62591"/>
    <w:rsid w:val="00F6308D"/>
    <w:rsid w:val="00F633D3"/>
    <w:rsid w:val="00F770B8"/>
    <w:rsid w:val="00FA0914"/>
    <w:rsid w:val="00FA1BF6"/>
    <w:rsid w:val="00FA46DC"/>
    <w:rsid w:val="00FA51AE"/>
    <w:rsid w:val="00FB090D"/>
    <w:rsid w:val="00FB55BB"/>
    <w:rsid w:val="00FC1297"/>
    <w:rsid w:val="00FC4C44"/>
    <w:rsid w:val="00FC7391"/>
    <w:rsid w:val="00FE76DA"/>
    <w:rsid w:val="00FE7A10"/>
    <w:rsid w:val="00FF1F9C"/>
    <w:rsid w:val="00FF2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86ED3-BB10-4537-A2C6-217BE0D5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72"/>
    <w:pPr>
      <w:ind w:left="720"/>
      <w:contextualSpacing/>
    </w:pPr>
  </w:style>
  <w:style w:type="character" w:styleId="a4">
    <w:name w:val="Placeholder Text"/>
    <w:basedOn w:val="a0"/>
    <w:uiPriority w:val="99"/>
    <w:semiHidden/>
    <w:rsid w:val="00AA0AE7"/>
    <w:rPr>
      <w:color w:val="808080"/>
    </w:rPr>
  </w:style>
  <w:style w:type="table" w:styleId="a5">
    <w:name w:val="Table Grid"/>
    <w:basedOn w:val="a1"/>
    <w:uiPriority w:val="39"/>
    <w:rsid w:val="003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44BA-E6AE-4EA1-8EA4-734DE69B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136</Pages>
  <Words>54592</Words>
  <Characters>311179</Characters>
  <Application>Microsoft Office Word</Application>
  <DocSecurity>0</DocSecurity>
  <Lines>2593</Lines>
  <Paragraphs>730</Paragraphs>
  <ScaleCrop>false</ScaleCrop>
  <Company>SPecialiST RePack</Company>
  <LinksUpToDate>false</LinksUpToDate>
  <CharactersWithSpaces>365041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726</cp:revision>
  <dcterms:created xsi:type="dcterms:W3CDTF">2023-09-07T07:21:00Z</dcterms:created>
  <dcterms:modified xsi:type="dcterms:W3CDTF">2023-11-16T14:33:00Z</dcterms:modified>
</cp:coreProperties>
</file>