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57e2510c39952f0b1997f2afe9026f63e2082a0a.png"/>
            <a:graphic>
              <a:graphicData uri="http://schemas.openxmlformats.org/drawingml/2006/picture">
                <pic:pic>
                  <pic:nvPicPr>
                    <pic:cNvPr id="1" name="image-57e2510c39952f0b1997f2afe9026f63e2082a0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executive_summary_acfl_in_intrinsica"/>
      <w:r>
        <w:rPr>
          <w:rFonts w:eastAsia="inter" w:cs="inter" w:ascii="inter" w:hAnsi="inter"/>
          <w:b/>
          <w:color w:val="000000"/>
          <w:sz w:val="24"/>
        </w:rPr>
        <w:t xml:space="preserve">Executive Summary: ACFL in Intrinsica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ACFL — Archimedean Compensatory Fuzzy Logic — is the explainability and decision-logic engine inside the Intrinsica platform. It replaces classical min/max fuzzy operators with quasi-arithmetic means (specifically Frank-family t-norms and Geometric Mean-Based Compensatory Logic) to produce health-state assessments that are both mathematically grounded and human-readable.</w:t>
      </w:r>
      <w:bookmarkStart w:id="1" w:name="fnref1"/>
      <w:bookmarkEnd w:id="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" w:name="what_it_does"/>
      <w:r>
        <w:rPr>
          <w:rFonts w:eastAsia="inter" w:cs="inter" w:ascii="inter" w:hAnsi="inter"/>
          <w:b/>
          <w:color w:val="000000"/>
          <w:sz w:val="24"/>
        </w:rPr>
        <w:t xml:space="preserve">What It Does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ACFL converts raw biosensor signals (HRV, bioimpedance, SpO2, skin temperature, PPG, acceleration) into fuzzy linguistic categories (CRITICALLY_LOW through CRITICALLY_HIGH) via trapezoidal membership functions, then fuses conflicting signals through compensatory operators instead of discarding minority evidence the way min/max would. The output is a weighted health-state vector accompanied by a natural-language reasoning chain — which biosensor triggered the assessment, how conflicts were compensated, mathematical justification, and a confidence interval.</w:t>
      </w:r>
      <w:bookmarkStart w:id="3" w:name="fnref2"/>
      <w:bookmarkEnd w:id="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" w:name="why_compensatory_logic"/>
      <w:r>
        <w:rPr>
          <w:rFonts w:eastAsia="inter" w:cs="inter" w:ascii="inter" w:hAnsi="inter"/>
          <w:b/>
          <w:color w:val="000000"/>
          <w:sz w:val="24"/>
        </w:rPr>
        <w:t xml:space="preserve">Why Compensatory Logic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Standard fuzzy operators are extremists. Min (Godel t-norm) ignores all evidence except the worst case; max ignores all except the best. ACFL's geometric mean averages across inputs while preserving the veto axiom: if any input is zero, the output is zero. This means the system is neither recklessly optimistic nor paralytically pessimistic — it compensates.</w:t>
      </w:r>
      <w:bookmarkStart w:id="5" w:name="fnref1_1"/>
      <w:bookmarkEnd w:id="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6" w:name="implementation_in_intrinsica_as_o_16bc92"/>
      <w:r>
        <w:rPr>
          <w:rFonts w:eastAsia="inter" w:cs="inter" w:ascii="inter" w:hAnsi="inter"/>
          <w:b/>
          <w:color w:val="000000"/>
          <w:sz w:val="24"/>
        </w:rPr>
        <w:t xml:space="preserve">Implementation in Intrinsica (as of HEAD 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24a1289</w:t>
      </w:r>
      <w:r>
        <w:rPr>
          <w:rFonts w:eastAsia="inter" w:cs="inter" w:ascii="inter" w:hAnsi="inter"/>
          <w:b/>
          <w:color w:val="000000"/>
          <w:sz w:val="24"/>
        </w:rPr>
        <w:t xml:space="preserve">)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ACFL lives in two packages with distinct roles: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Package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dna_key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packages/dna_key/src/acfl/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src/iacfl/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Core ACFL + I-ACFL (inverted/blended) operators, membership, counterfactual, explainability, 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603 passing (2 skipped, 2 xfailed)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hcalc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packages/hcalc/src/hcalc/pipeline/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H-Calculator pipeline integration + shadow validation consuming ACFL bridge 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285 passing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dna_key</w:t>
      </w:r>
      <w:r>
        <w:rPr>
          <w:rFonts w:eastAsia="inter" w:cs="inter" w:ascii="inter" w:hAnsi="inter"/>
          <w:color w:val="000000"/>
        </w:rPr>
        <w:t xml:space="preserve"> ACFL suite (</w:t>
      </w:r>
      <w:hyperlink r:id="rId6">
        <w:r>
          <w:rPr>
            <w:rStyle w:val="VerbatimChar"/>
            <w:rFonts w:eastAsia="inter" w:cs="inter" w:ascii="inter" w:hAnsi="inter"/>
            <w:color w:val="#000"/>
            <w:u w:val="single"/>
            <w:shd w:val="clear" w:color="auto" w:fill="F8F8FA"/>
          </w:rPr>
          <w:t xml:space="preserve">packages/dna_key/tests/acfl/</w:t>
        </w:r>
      </w:hyperlink>
      <w:r>
        <w:rPr>
          <w:rFonts w:eastAsia="inter" w:cs="inter" w:ascii="inter" w:hAnsi="inter"/>
          <w:color w:val="000000"/>
        </w:rPr>
        <w:t xml:space="preserve">) contains 10 test modules covering operators, membership functions, counterfactual analysis, explainability, compliance, validation, integration, and rationale generation, plus an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iacfl/</w:t>
      </w:r>
      <w:r>
        <w:rPr>
          <w:rFonts w:eastAsia="inter" w:cs="inter" w:ascii="inter" w:hAnsi="inter"/>
          <w:color w:val="000000"/>
        </w:rPr>
        <w:t xml:space="preserve"> subdirectory for inverted-ACFL axiom and blend tests .</w:t>
      </w:r>
    </w:p>
    <w:p>
      <w:pPr>
        <w:spacing w:line="360" w:before="315" w:after="105" w:lineRule="auto"/>
        <w:ind w:left="-30"/>
        <w:jc w:val="left"/>
      </w:pPr>
      <w:bookmarkStart w:id="7" w:name="architectural_layers"/>
      <w:r>
        <w:rPr>
          <w:rFonts w:eastAsia="inter" w:cs="inter" w:ascii="inter" w:hAnsi="inter"/>
          <w:b/>
          <w:color w:val="000000"/>
          <w:sz w:val="24"/>
        </w:rPr>
        <w:t xml:space="preserve">Architectural Layers</w:t>
      </w:r>
      <w:bookmarkEnd w:id="7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Operators</w:t>
      </w:r>
      <w:r>
        <w:rPr>
          <w:rFonts w:eastAsia="inter" w:cs="inter" w:ascii="inter" w:hAnsi="inter"/>
          <w:color w:val="000000"/>
          <w:sz w:val="21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operators.py</w:t>
      </w:r>
      <w:r>
        <w:rPr>
          <w:rFonts w:eastAsia="inter" w:cs="inter" w:ascii="inter" w:hAnsi="inter"/>
          <w:color w:val="000000"/>
          <w:sz w:val="21"/>
        </w:rPr>
        <w:t xml:space="preserve">): Frank t-norm/t-conorm, GMBCL conjunction/disjunction with veto axiom and weighted variant 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Membership</w:t>
      </w:r>
      <w:r>
        <w:rPr>
          <w:rFonts w:eastAsia="inter" w:cs="inter" w:ascii="inter" w:hAnsi="inter"/>
          <w:color w:val="000000"/>
          <w:sz w:val="21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membership.py</w:t>
      </w:r>
      <w:r>
        <w:rPr>
          <w:rFonts w:eastAsia="inter" w:cs="inter" w:ascii="inter" w:hAnsi="inter"/>
          <w:color w:val="000000"/>
          <w:sz w:val="21"/>
        </w:rPr>
        <w:t xml:space="preserve">): Trapezoidal helper + 6 biosensor membership functions mapping raw scalars to 5-tier linguistic categories 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Counterfactual</w:t>
      </w:r>
      <w:r>
        <w:rPr>
          <w:rFonts w:eastAsia="inter" w:cs="inter" w:ascii="inter" w:hAnsi="inter"/>
          <w:color w:val="000000"/>
          <w:sz w:val="21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counterfactual.py</w:t>
      </w:r>
      <w:r>
        <w:rPr>
          <w:rFonts w:eastAsia="inter" w:cs="inter" w:ascii="inter" w:hAnsi="inter"/>
          <w:color w:val="000000"/>
          <w:sz w:val="21"/>
        </w:rPr>
        <w:t xml:space="preserve">): Binary-search minimal perturbation engine — answers "what would need to change to alter the prediction" with sorted-by-delta scenarios 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I-ACFL Blend</w:t>
      </w:r>
      <w:r>
        <w:rPr>
          <w:rFonts w:eastAsia="inter" w:cs="inter" w:ascii="inter" w:hAnsi="inter"/>
          <w:color w:val="000000"/>
          <w:sz w:val="21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iacfl/blend.py</w:t>
      </w:r>
      <w:r>
        <w:rPr>
          <w:rFonts w:eastAsia="inter" w:cs="inter" w:ascii="inter" w:hAnsi="inter"/>
          <w:color w:val="000000"/>
          <w:sz w:val="21"/>
        </w:rPr>
        <w:t xml:space="preserve">): Parameterized conservatism — a blending parameter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</w:t>
      </w:r>
      <w:r>
        <w:rPr>
          <w:rFonts w:eastAsia="inter" w:cs="inter" w:ascii="inter" w:hAnsi="inter"/>
          <w:color w:val="000000"/>
          <w:sz w:val="21"/>
        </w:rPr>
        <w:t xml:space="preserve"> where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c=0</w:t>
      </w:r>
      <w:r>
        <w:rPr>
          <w:rFonts w:eastAsia="inter" w:cs="inter" w:ascii="inter" w:hAnsi="inter"/>
          <w:color w:val="000000"/>
          <w:sz w:val="21"/>
        </w:rPr>
        <w:t xml:space="preserve"> is pure standard ACFL and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c=1</w:t>
      </w:r>
      <w:r>
        <w:rPr>
          <w:rFonts w:eastAsia="inter" w:cs="inter" w:ascii="inter" w:hAnsi="inter"/>
          <w:color w:val="000000"/>
          <w:sz w:val="21"/>
        </w:rPr>
        <w:t xml:space="preserve"> is pure inverted, with factory presets (optimistic, balanced, conservative, clinical) 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Pipeline Bridge</w:t>
      </w:r>
      <w:r>
        <w:rPr>
          <w:rFonts w:eastAsia="inter" w:cs="inter" w:ascii="inter" w:hAnsi="inter"/>
          <w:color w:val="000000"/>
          <w:sz w:val="21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hcalc/pipeline/integration.py</w:t>
      </w:r>
      <w:r>
        <w:rPr>
          <w:rFonts w:eastAsia="inter" w:cs="inter" w:ascii="inter" w:hAnsi="inter"/>
          <w:color w:val="000000"/>
          <w:sz w:val="21"/>
        </w:rPr>
        <w:t xml:space="preserve">): Wires ACFL explanation as a best-effort optional output into the H-Calculator's full execution chain (tensor assembly → R_max guard → convergence → terminal classification → FHIR → ACFL → Omega-Trace) 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Shadow Validation</w:t>
      </w:r>
      <w:r>
        <w:rPr>
          <w:rFonts w:eastAsia="inter" w:cs="inter" w:ascii="inter" w:hAnsi="inter"/>
          <w:color w:val="000000"/>
          <w:sz w:val="21"/>
        </w:rPr>
        <w:t xml:space="preserve">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hcalc/pipeline/shadow.py</w:t>
      </w:r>
      <w:r>
        <w:rPr>
          <w:rFonts w:eastAsia="inter" w:cs="inter" w:ascii="inter" w:hAnsi="inter"/>
          <w:color w:val="000000"/>
          <w:sz w:val="21"/>
        </w:rPr>
        <w:t xml:space="preserve">): Paired production/shadow execution with concordance metrics — EPI divergence (JSD ≤ 0.10), intervention concordance (Jaccard ≥ 0.80), ACFL cosine similarity (≥ 0.90) — producing a Go/No-Go gate .</w:t>
      </w:r>
    </w:p>
    <w:p>
      <w:pPr>
        <w:spacing w:line="360" w:before="315" w:after="105" w:lineRule="auto"/>
        <w:ind w:left="-30"/>
        <w:jc w:val="left"/>
      </w:pPr>
      <w:bookmarkStart w:id="8" w:name="relationship_to_multiplicity_theory"/>
      <w:r>
        <w:rPr>
          <w:rFonts w:eastAsia="inter" w:cs="inter" w:ascii="inter" w:hAnsi="inter"/>
          <w:b/>
          <w:color w:val="000000"/>
          <w:sz w:val="24"/>
        </w:rPr>
        <w:t xml:space="preserve">Relationship to Multiplicity Theory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ACFL and Multiplicity in Fuzzy Logic are complementary. ACFL provides the compensatory operator calculus and interpretability infrastructure; Multiplicity provides prime-canonical labeling and derived intersection machinery. The synthesis path — prime-weighted geometric means, Archimedean generators as multiplicity profiles — would inherit ACFL's empirical maturity and Multiplicity's structural depth.</w:t>
      </w:r>
      <w:bookmarkStart w:id="9" w:name="fnref1_2"/>
      <w:bookmarkEnd w:id="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0" w:name="patent_regulatory_position"/>
      <w:r>
        <w:rPr>
          <w:rFonts w:eastAsia="inter" w:cs="inter" w:ascii="inter" w:hAnsi="inter"/>
          <w:b/>
          <w:color w:val="000000"/>
          <w:sz w:val="24"/>
        </w:rPr>
        <w:t xml:space="preserve">Patent &amp; Regulatory Position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ACFL explainability system is the subject of an independent patent claim (Claim 2 of the DNA-KEY filing) targeting FDA SaMD glass-box compliance. An adversarial stress test identifies 101 eligibility and 103 obviousness as the primary prosecution risks, with the recommended mitigation path being either: (a) narrow to specific t-norm formulas + clinical validation data, or (b) focus on closed-loop system integration with genetic data fusion. The I-ACFL blending parameter adds a defensible differentiator not present in prior art.</w:t>
      </w:r>
      <w:bookmarkStart w:id="11" w:name="fnref2_1"/>
      <w:bookmarkEnd w:id="1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2" w:name="open_risk"/>
      <w:r>
        <w:rPr>
          <w:rFonts w:eastAsia="inter" w:cs="inter" w:ascii="inter" w:hAnsi="inter"/>
          <w:b/>
          <w:color w:val="000000"/>
          <w:sz w:val="24"/>
        </w:rPr>
        <w:t xml:space="preserve">Open Risk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patent claim as drafted does not specify </w:t>
      </w:r>
      <w:r>
        <w:rPr>
          <w:rFonts w:eastAsia="inter" w:cs="inter" w:ascii="inter" w:hAnsi="inter"/>
          <w:i/>
          <w:color w:val="000000"/>
        </w:rPr>
        <w:t xml:space="preserve">which</w:t>
      </w:r>
      <w:r>
        <w:rPr>
          <w:rFonts w:eastAsia="inter" w:cs="inter" w:ascii="inter" w:hAnsi="inter"/>
          <w:color w:val="000000"/>
        </w:rPr>
        <w:t xml:space="preserve"> Archimedean t-norm, does not provide comparative performance data vs. ML baselines, and does not include clinical trial validation. These gaps map directly to prosecution vulnerabilities under 35 U.S.C. 103 and 112.</w:t>
      </w:r>
      <w:bookmarkStart w:id="13" w:name="fnref2_2"/>
      <w:bookmarkEnd w:id="1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4" w:name="fn1"/>
    <w:bookmarkEnd w:id="14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ACFL-vs-Multiplicity-Comparison.pdf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" w:name="fn2"/>
    <w:bookmarkEnd w:id="15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ACFL-EXPLAINABLE-AI-SYSTEM.pdf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" w:name="fn3"/>
    <w:bookmarkEnd w:id="16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Tca-Integration-Executive-Summary-Comprehensive-Overview.pdf </w:t>
      </w:r>
    </w:p>
    <w:bookmarkStart w:id="17" w:name="fn4"/>
    <w:bookmarkEnd w:id="17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ACFL-Module-Development-Blueprint-for-Digital-Twin.md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" w:name="fn5"/>
    <w:bookmarkEnd w:id="18"/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Executive-Summary-Revolutionizing-Chiropractic-Care.pdf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7e2510c39952f0b1997f2afe9026f63e2082a0a.png" TargetMode="Internal"/><Relationship Id="rId6" Type="http://schemas.openxmlformats.org/officeDocument/2006/relationships/hyperlink" Target="https://github.com/CHL987/Intrinsica/tree/24a128969ac69e660506870266daf2ee4127800a/packages/dna_key/tests/acfl" TargetMode="External"/><Relationship Id="rId7" Type="http://schemas.openxmlformats.org/officeDocument/2006/relationships/hyperlink" Target="http://ACFL-Module-Development-Blueprint-for-Digital-Twin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2026-02-22T00:27:45.585Z</dcterms:created>
  <dcterms:modified xsi:type="dcterms:W3CDTF">2026-02-22T00:27:45.585Z</dcterms:modified>
</cp:coreProperties>
</file>