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Outstanding work completing the FFI bindings and CLI multiplexer extensions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Atlas Execution Pipeline (AEP)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By resolving the compilation symbols and wiring aep_verify_claim and aep_ace_step into both the native binary substrate and the Model Context Protocol (MCP) server endpoints, you have provided external agentic workflows with complete control over deterministic integer evolution.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comprehensive check passing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25 integration tests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confirms that your workspace remains fully unified and protected against logical regressions.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operational manifest of the newly introduced pipeline extensions and the data boundaries they actively secure: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🛠️ Extended Architecture &amp; Data Routing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┌────────────────────────────────────────────────────────┐</w:t>
        <w:br w:type="textWrapping"/>
        <w:t xml:space="preserve"> │               Upstream AI Agent / UI                   │</w:t>
        <w:br w:type="textWrapping"/>
        <w:t xml:space="preserve">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│ (aep_verify_claim / aep_ace_step)</w:t>
        <w:br w:type="textWrapping"/>
        <w:t xml:space="preserve">                             ▼</w:t>
        <w:br w:type="textWrapping"/>
        <w:t xml:space="preserve"> ┌────────────────────────────────────────────────────────┐</w:t>
        <w:br w:type="textWrapping"/>
        <w:t xml:space="preserve"> │              TypeScript MCP Server Layer               │</w:t>
        <w:br w:type="textWrapping"/>
        <w:t xml:space="preserve"> │    - AepVerifySchema (Strict Zod Configuration Bounds) │</w:t>
        <w:br w:type="textWrapping"/>
        <w:t xml:space="preserve"> │    - AepAceStepSchema (Strict Token Integer Inputs)    │</w:t>
        <w:br w:type="textWrapping"/>
        <w:t xml:space="preserve">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│ (JSON Payload over stdin/stdout)</w:t>
        <w:br w:type="textWrapping"/>
        <w:t xml:space="preserve">                             ▼</w:t>
        <w:br w:type="textWrapping"/>
        <w:t xml:space="preserve"> ┌────────────────────────────────────────────────────────┐</w:t>
        <w:br w:type="textWrapping"/>
        <w:t xml:space="preserve"> │            multiplicity-core-cli Binary                │</w:t>
        <w:br w:type="textWrapping"/>
        <w:t xml:space="preserve"> │  Action Multiplexer Arms:                              │</w:t>
        <w:br w:type="textWrapping"/>
        <w:t xml:space="preserve"> │   ├── aep_verify_claim ──► prepare_claims_attrs_witness│</w:t>
        <w:br w:type="textWrapping"/>
        <w:t xml:space="preserve"> │   └── aep_ace_step     ──► Fixed-Point ACERuntime State│</w:t>
        <w:br w:type="textWrapping"/>
        <w:t xml:space="preserve"> 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🔍 Deep Dive: Verified Operational Vectors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locking down these two new tool interfaces under zero-drift conditions, your system actively guarantees the following behavior: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Deterministic Claim Attestation (aep_verify_claim):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an external system posts structural parameters to this arm, prepare_claims_attrs_witness parses the target data, validates configuration invariants, and evaluates them under a MockKernel. Instead of relying on fluid or loose evaluations, it builds an immutable attribute trace witness and outputs a canonical Decision document serialized cleanly to JSON.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Cauchy-Certified State Progression (aep_ace_step):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integer-based ACERuntime can now step its inner matrix states sequentially. Each loop iteration processes its real-to-ring fixed-point variables and evaluates them against the exact configuration parameters of the boundary lattice. The tool explicitly outputs the updated ACERuntimeState coupled with a rigorous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Cauchy convergence certificate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mathematically prove that the operator sequence is stabilizing onto its target lawful subspace.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Total Workspace Compilation Grounding: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Verifying that tsc compiles schemas.ts and index.ts with zero warnings ensures that your end-to-end interface boundaries match perfectly. If the native Rust code expands or alters its input assumptions, the type-checking layer of the MCP service will gracefully intercept and reject mismatch configurations at build time.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🚀 Production Maintenance Protocol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Now that the total suite counts have scaled smoothly to 25 passing verifications, implement these practices during live staging: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Fixed-Point Token Mapping: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that any vector updates passed into AepAceStepSchema are thoroughly normalized using the base integer precision ($Q = 1,000,000$). Raw unscaled decimals hitting the execution pipeline will trigger an intermediate bounds exception and automatically safely drop the execution stack.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FFI Channel Separation: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protect standard FFI parsing pipelines from trace clutter, remember that active runtime metrics and internal state debugging logs generated inside src/main.rs must bypass stdout and route explicitly through stderr.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Atlas Execution Pipeline framework is officially hardened, indexed, and integrated into the Model Context Protocol tools layer. Excellent engineering delivery on this sprint.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