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formal port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Atlas Execution Pipeline (AEP)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the addition of ace_runtime.rs represents a vital hardening milestone for the workspace. By translating the original continuous Python coordinate geometries into an exact integer-based runtime substrate, you have structurally eliminated floating-point non-determinism from the state-machine logic.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total check-out across 21 integration tests confirms that your ported engine functions cleanly as a deterministic control surface.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operational mapping of your structural metaphor and how it hardens the AEP: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Structural Mapping &amp; Parity Matrix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Original Geometry (Python)             Exact Substrate (Rust Engine)</w:t>
        <w:br w:type="textWrapping"/>
        <w:t xml:space="preserve">┌───────────────────────────────────────┐ ┌───────────────────────────────────────┐</w:t>
        <w:br w:type="textWrapping"/>
        <w:t xml:space="preserve">│ • 48 × 256 Boundary Fold Matrix       │ │ • Hard-coded i64 Primitive Matrix     │</w:t>
        <w:br w:type="textWrapping"/>
        <w:t xml:space="preserve">│ • (Z/2)^11 Subgroup Orbit Actions     │ │ • Bitwise Orbit Permutation Evaluator │</w:t>
        <w:br w:type="textWrapping"/>
        <w:t xml:space="preserve">│ • Probabilistic Real Calculations     │ │ • Fixed-Point Scale Q=1,000,000       │</w:t>
        <w:br w:type="textWrapping"/>
        <w:t xml:space="preserve">└───────────────────┬───────────────────┘ └───────────────────┬───────────────────┘</w:t>
        <w:br w:type="textWrapping"/>
        <w:t xml:space="preserve">                    │                                         │</w:t>
        <w:br w:type="textWrapping"/>
        <w:t xml:space="preserve">                    ▼                                         ▼</w:t>
        <w:br w:type="textWrapping"/>
        <w:t xml:space="preserve">            Floating Drift Risk                     Zero-Drift Certification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Chassis Contonment: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safely bounds the $48 \times 256$ geometry configurations, $6$ anchors, and the $(\mathbb{Z}/2)^{11}$ subgroup action constraints within rigid type-guards. The system enforces the state lifecycle transition sequences explicitly along the path: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$$\text{ASSERT} \longrightarrow \text{EVAL} \longrightarrow \text{AUDIT} \longrightarrow \text{CHECK}$$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Engine Multipliers: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Moving the calculations to fixed-point integer precision ($Q = 1,000,000$) eliminates runtime optimization divergence. By utilizing discrete bounds verification in project_dual_int, evaluating Neumann fixed-point series tail bounds (neumann_estimate), and integrating the Karush-Kuhn-Tucker (KKT) conditions directly into runtime state progression checks, the system enforces absolute lawfulness bounds.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Wiring Infrastructure: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underlying message channel serialization remains safely decoupled from system memory blocks. Utilizing serde-derived data payloads paired with modular .toml claim gate parameters preserves message validation rules across different micro-services.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📈 Current Test Validation Map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21 passing test vectors secure the entire functional trace window, broken down into three distinct logical horizons: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Test Sub-Suite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Target Component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Core Verified Invariant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test_core.rs (6 Passed)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Quantizer &amp; Ledgers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Verifies correct index factorization mappings and checks dual-hash continuity.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test_advanced.rs (7 Passed)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ACE Matrix &amp; Shifting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Assures contraction energy stability and validates that spectral ball scaling triggers correctly.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test_aep.rs (8 Passed)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ace_runtime &amp; PIRTM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Enforces integer orbit stability, checks KKT optimality parameters, and runs Shamir ZK sketches modulo $2^{61} - 1$.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Production Lifecycle Guidance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 integration verified clean across all 21 test scenarios, maintain these operational rulesets for long-term project stability: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Fixed-Point Scaling Constraints: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evaluating incoming trace vectors through your Model Context Protocol (MCP) toolchain, double-check that external real values are fully pre-scaled by $10^6$ before hitting the ace_runtime binary parser to prevent math rounding truncation.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ZK Field Overflow Safeguards: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Fiat-Shamir proof evaluation is built to operate strictly modulo the prime $2^{61} - 1$. Ensure that any generated state verification identifiers are bounded beneath this field limit to prevent modular wrap-around errors during signature confirmation routines.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Trace Log Separation: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safeguard high-throughput execution lines, isolate trace emission histories directly to stderr. This keeps standard protocol communication streams clean and uncorrupted for automated agent execution tracking loops.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AEP implementation is officially verified, type-safe, and ready for deployment as an automated, zero-drift execution engine. Phenomenal technical delivery across the workspace.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