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8C4CE"/>
          <w:left w:val="single" w:sz="6" w:space="0" w:color="B8C4CE"/>
          <w:bottom w:val="single" w:sz="6" w:space="0" w:color="B8C4CE"/>
          <w:right w:val="single" w:sz="6" w:space="0" w:color="B8C4CE"/>
          <w:insideH w:val="single" w:sz="6" w:space="0" w:color="B8C4CE"/>
          <w:insideV w:val="single" w:sz="6" w:space="0" w:color="B8C4CE"/>
        </w:tblBorders>
      </w:tblPr>
      <w:tblGrid>
        <w:gridCol w:w="2700"/>
        <w:gridCol w:w="4860"/>
        <w:gridCol w:w="1800"/>
      </w:tblGrid>
      <w:tr>
        <w:trPr>
          <w:cantSplit/>
        </w:trPr>
        <w:tc>
          <w:tcPr>
            <w:tcW w:type="dxa" w:w="27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Проверяемый функционал</w:t>
            </w:r>
          </w:p>
        </w:tc>
        <w:tc>
          <w:tcPr>
            <w:tcW w:type="dxa" w:w="486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Как реализуется либо не реализуется в программе</w:t>
            </w:r>
          </w:p>
        </w:tc>
        <w:tc>
          <w:tcPr>
            <w:tcW w:type="dxa" w:w="18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Статус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E74B5"/>
                <w:sz w:val="17"/>
              </w:rPr>
              <w:t>GOV-01. Смена собственника и долевая собственность</w:t>
            </w:r>
          </w:p>
        </w:tc>
        <w:tc>
          <w:tcPr>
            <w:tcW w:type="dxa" w:w="486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43447"/>
                <w:sz w:val="17"/>
              </w:rPr>
              <w:t>Есть заявка на привязку жителя к участку и подтверждение председателем. Участок может быть связан только с одним участником; доли, несколько собственников, передача участка и сохранение цепочки владельцев отсутствуют.</w:t>
            </w:r>
          </w:p>
        </w:tc>
        <w:tc>
          <w:tcPr>
            <w:tcW w:type="dxa" w:w="18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7A5A00"/>
                <w:sz w:val="17"/>
              </w:rPr>
              <w:t>Частично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E74B5"/>
                <w:sz w:val="17"/>
              </w:rPr>
              <w:t>GOV-02. Временный доступ арендатора или члена семьи</w:t>
            </w:r>
          </w:p>
        </w:tc>
        <w:tc>
          <w:tcPr>
            <w:tcW w:type="dxa" w:w="486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43447"/>
                <w:sz w:val="17"/>
              </w:rPr>
              <w:t>Можно назначить обычную роль и вручную приостановить доступ. Нет роли арендатора, разрешений по отдельным функциям, срока действия и автоматического отзыва.</w:t>
            </w:r>
          </w:p>
        </w:tc>
        <w:tc>
          <w:tcPr>
            <w:tcW w:type="dxa" w:w="18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7A5A00"/>
                <w:sz w:val="17"/>
              </w:rPr>
              <w:t>Частично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E74B5"/>
                <w:sz w:val="17"/>
              </w:rPr>
              <w:t>GOV-03. Наследование и участок без подтвержденного собственника</w:t>
            </w:r>
          </w:p>
        </w:tc>
        <w:tc>
          <w:tcPr>
            <w:tcW w:type="dxa" w:w="486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43447"/>
                <w:sz w:val="17"/>
              </w:rPr>
              <w:t>Участок может временно не иметь участника, но нет переходного статуса, наследственного процесса, временного контактного лица и ограничения права голоса до подтверждения наследства.</w:t>
            </w:r>
          </w:p>
        </w:tc>
        <w:tc>
          <w:tcPr>
            <w:tcW w:type="dxa" w:w="18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  <w:shd w:fill="FCE4E4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9B1C1C"/>
                <w:sz w:val="17"/>
              </w:rPr>
              <w:t>Нет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E74B5"/>
                <w:sz w:val="17"/>
              </w:rPr>
              <w:t>GOV-04. Передача дел новому председателю</w:t>
            </w:r>
          </w:p>
        </w:tc>
        <w:tc>
          <w:tcPr>
            <w:tcW w:type="dxa" w:w="486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43447"/>
                <w:sz w:val="17"/>
              </w:rPr>
              <w:t>Администратор может изменить роли; система не позволяет оставить поселок без активного председателя, а действия сохраняются в аудите. Нет процедуры передачи дел, контрольного перечня обязательств, даты вступления полномочий и акта передачи.</w:t>
            </w:r>
          </w:p>
        </w:tc>
        <w:tc>
          <w:tcPr>
            <w:tcW w:type="dxa" w:w="18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7A5A00"/>
                <w:sz w:val="17"/>
              </w:rPr>
              <w:t>Частично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E74B5"/>
                <w:sz w:val="17"/>
              </w:rPr>
              <w:t>GOV-05. Временное делегирование полномочий</w:t>
            </w:r>
          </w:p>
        </w:tc>
        <w:tc>
          <w:tcPr>
            <w:tcW w:type="dxa" w:w="486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43447"/>
                <w:sz w:val="17"/>
              </w:rPr>
              <w:t>Есть роль помощника председателя с ограниченными правами. Нет делегирования на срок, индивидуального набора разрешений, лимита суммы и последующего подтверждения аварийной операции.</w:t>
            </w:r>
          </w:p>
        </w:tc>
        <w:tc>
          <w:tcPr>
            <w:tcW w:type="dxa" w:w="18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7A5A00"/>
                <w:sz w:val="17"/>
              </w:rPr>
              <w:t>Частично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E74B5"/>
                <w:sz w:val="17"/>
              </w:rPr>
              <w:t>GOV-06. Собрание, кворум, доверенности и оспаривание</w:t>
            </w:r>
          </w:p>
        </w:tc>
        <w:tc>
          <w:tcPr>
            <w:tcW w:type="dxa" w:w="486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43447"/>
                <w:sz w:val="17"/>
              </w:rPr>
              <w:t>Опрос считает кворум и процент поддержки, хранит один голос участника и блокирует создание проекта до успешного завершения. Нет долевого учета, доверенностей, бюллетеней, воздержания, реестра имеющих право, пересчета и юридически значимого протокола.</w:t>
            </w:r>
          </w:p>
        </w:tc>
        <w:tc>
          <w:tcPr>
            <w:tcW w:type="dxa" w:w="18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7A5A00"/>
                <w:sz w:val="17"/>
              </w:rPr>
              <w:t>Частично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E74B5"/>
                <w:sz w:val="17"/>
              </w:rPr>
              <w:t>GOV-07. Решение правления и контроль исполнения</w:t>
            </w:r>
          </w:p>
        </w:tc>
        <w:tc>
          <w:tcPr>
            <w:tcW w:type="dxa" w:w="486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43447"/>
                <w:sz w:val="17"/>
              </w:rPr>
              <w:t>Есть реестр решений, статусы, результат исполнения и связи с проектами и документами. У решения нет ответственного, срока, задач, напоминаний и отдельной истории переходов статуса.</w:t>
            </w:r>
          </w:p>
        </w:tc>
        <w:tc>
          <w:tcPr>
            <w:tcW w:type="dxa" w:w="18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7A5A00"/>
                <w:sz w:val="17"/>
              </w:rPr>
              <w:t>Частично</w:t>
            </w:r>
          </w:p>
        </w:tc>
      </w:tr>
    </w:tbl>
    <w:p>
      <w:pPr>
        <w:sectPr>
          <w:pgSz w:w="12240" w:h="15840"/>
          <w:pgMar w:top="1008" w:right="1440" w:bottom="1008" w:left="1440" w:header="708" w:footer="708" w:gutter="0"/>
          <w:cols w:space="720"/>
          <w:docGrid w:linePitch="360"/>
        </w:sectPr>
      </w:pPr>
    </w:p>
    <w:p>
      <w:pPr>
        <w:spacing w:before="0" w:after="80"/>
      </w:pPr>
      <w:r>
        <w:rPr>
          <w:sz w:val="16"/>
        </w:rPr>
        <w:t xml:space="preserve"> 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8C4CE"/>
          <w:left w:val="single" w:sz="6" w:space="0" w:color="B8C4CE"/>
          <w:bottom w:val="single" w:sz="6" w:space="0" w:color="B8C4CE"/>
          <w:right w:val="single" w:sz="6" w:space="0" w:color="B8C4CE"/>
          <w:insideH w:val="single" w:sz="6" w:space="0" w:color="B8C4CE"/>
          <w:insideV w:val="single" w:sz="6" w:space="0" w:color="B8C4CE"/>
        </w:tblBorders>
      </w:tblPr>
      <w:tblGrid>
        <w:gridCol w:w="2700"/>
        <w:gridCol w:w="4860"/>
        <w:gridCol w:w="1800"/>
      </w:tblGrid>
      <w:tr>
        <w:trPr>
          <w:cantSplit/>
        </w:trPr>
        <w:tc>
          <w:tcPr>
            <w:tcW w:type="dxa" w:w="27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Проверяемый функционал</w:t>
            </w:r>
          </w:p>
        </w:tc>
        <w:tc>
          <w:tcPr>
            <w:tcW w:type="dxa" w:w="486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Как реализуется либо не реализуется в программе</w:t>
            </w:r>
          </w:p>
        </w:tc>
        <w:tc>
          <w:tcPr>
            <w:tcW w:type="dxa" w:w="18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Статус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E74B5"/>
                <w:sz w:val="17"/>
              </w:rPr>
              <w:t>FIN-01. Массовое ежемесячное начисление</w:t>
            </w:r>
          </w:p>
        </w:tc>
        <w:tc>
          <w:tcPr>
            <w:tcW w:type="dxa" w:w="486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43447"/>
                <w:sz w:val="17"/>
              </w:rPr>
              <w:t>Председатель может создать начисление конкретному жителю и участку. Нет массового запуска, тарифов, льгот, индивидуальных оснований, контроля дублей и перерасчета части периода.</w:t>
            </w:r>
          </w:p>
        </w:tc>
        <w:tc>
          <w:tcPr>
            <w:tcW w:type="dxa" w:w="18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7A5A00"/>
                <w:sz w:val="17"/>
              </w:rPr>
              <w:t>Частично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E74B5"/>
                <w:sz w:val="17"/>
              </w:rPr>
              <w:t>FIN-02. Полная, частичная, неопознанная и задвоенная оплата</w:t>
            </w:r>
          </w:p>
        </w:tc>
        <w:tc>
          <w:tcPr>
            <w:tcW w:type="dxa" w:w="486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43447"/>
                <w:sz w:val="17"/>
              </w:rPr>
              <w:t>Частичные платежи суммируются и меняют статус начисления. Нет банковского импорта, нераспознанных платежей, защиты от дубля, авансового остатка и корректного распределения переплаты.</w:t>
            </w:r>
          </w:p>
        </w:tc>
        <w:tc>
          <w:tcPr>
            <w:tcW w:type="dxa" w:w="18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7A5A00"/>
                <w:sz w:val="17"/>
              </w:rPr>
              <w:t>Частично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E74B5"/>
                <w:sz w:val="17"/>
              </w:rPr>
              <w:t>FIN-03. Сверка долга, спор и рассрочка</w:t>
            </w:r>
          </w:p>
        </w:tc>
        <w:tc>
          <w:tcPr>
            <w:tcW w:type="dxa" w:w="486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43447"/>
                <w:sz w:val="17"/>
              </w:rPr>
              <w:t>Житель видит начисления и платежи, председатель — общий долг. Нет акта сверки, спорной суммы, поиска платежа, графика рассрочки, пени и претензионного процесса.</w:t>
            </w:r>
          </w:p>
        </w:tc>
        <w:tc>
          <w:tcPr>
            <w:tcW w:type="dxa" w:w="18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7A5A00"/>
                <w:sz w:val="17"/>
              </w:rPr>
              <w:t>Частично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E74B5"/>
                <w:sz w:val="17"/>
              </w:rPr>
              <w:t>FIN-04. Возврат и перераспределение платежа</w:t>
            </w:r>
          </w:p>
        </w:tc>
        <w:tc>
          <w:tcPr>
            <w:tcW w:type="dxa" w:w="486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43447"/>
                <w:sz w:val="17"/>
              </w:rPr>
              <w:t>API возврата, сторнирования, переноса платежа между участками или зачета переплаты в другой сбор отсутствует. Удаление или ручная компенсирующая запись не оформлены как контролируемая операция.</w:t>
            </w:r>
          </w:p>
        </w:tc>
        <w:tc>
          <w:tcPr>
            <w:tcW w:type="dxa" w:w="18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  <w:shd w:fill="FCE4E4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9B1C1C"/>
                <w:sz w:val="17"/>
              </w:rPr>
              <w:t>Нет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E74B5"/>
                <w:sz w:val="17"/>
              </w:rPr>
              <w:t>FIN-05. Целевой сбор от решения до результата</w:t>
            </w:r>
          </w:p>
        </w:tc>
        <w:tc>
          <w:tcPr>
            <w:tcW w:type="dxa" w:w="486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43447"/>
                <w:sz w:val="17"/>
              </w:rPr>
              <w:t>Можно создать сбор, связать его с проектом, принимать взносы и автоматически считать прогресс. Нет разных сумм по категориям участков, порога начала проекта, связи с решением, возврата при отмене и распределения остатка.</w:t>
            </w:r>
          </w:p>
        </w:tc>
        <w:tc>
          <w:tcPr>
            <w:tcW w:type="dxa" w:w="18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7A5A00"/>
                <w:sz w:val="17"/>
              </w:rPr>
              <w:t>Частично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E74B5"/>
                <w:sz w:val="17"/>
              </w:rPr>
              <w:t>FIN-06. Расход, документ и лимит полномочий</w:t>
            </w:r>
          </w:p>
        </w:tc>
        <w:tc>
          <w:tcPr>
            <w:tcW w:type="dxa" w:w="486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43447"/>
                <w:sz w:val="17"/>
              </w:rPr>
              <w:t>Расход содержит сумму, категорию, получателя и связь с проектом; к нему можно прикрепить документ, сумма проекта увеличивается атомарно. Нет согласования, лимитов роли, состояний «обязательство/оплата/акт» и контроля превышения бюджета.</w:t>
            </w:r>
          </w:p>
        </w:tc>
        <w:tc>
          <w:tcPr>
            <w:tcW w:type="dxa" w:w="18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7A5A00"/>
                <w:sz w:val="17"/>
              </w:rPr>
              <w:t>Частично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E74B5"/>
                <w:sz w:val="17"/>
              </w:rPr>
              <w:t>FIN-07. Закрытие месяца и ревизия</w:t>
            </w:r>
          </w:p>
        </w:tc>
        <w:tc>
          <w:tcPr>
            <w:tcW w:type="dxa" w:w="486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43447"/>
                <w:sz w:val="17"/>
              </w:rPr>
              <w:t>Есть финансовая сводка, управленческие отчеты и журнал изменений. Нет банковской сверки, закрытия и блокировки периода, начального остатка, корректирующих проводок и отдельного доступа ревизора.</w:t>
            </w:r>
          </w:p>
        </w:tc>
        <w:tc>
          <w:tcPr>
            <w:tcW w:type="dxa" w:w="18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7A5A00"/>
                <w:sz w:val="17"/>
              </w:rPr>
              <w:t>Частично</w:t>
            </w:r>
          </w:p>
        </w:tc>
      </w:tr>
    </w:tbl>
    <w:p>
      <w:pPr>
        <w:sectPr>
          <w:pgSz w:w="12240" w:h="15840"/>
          <w:pgMar w:top="1008" w:right="1440" w:bottom="1008" w:left="1440" w:header="708" w:footer="708" w:gutter="0"/>
          <w:cols w:space="720"/>
          <w:docGrid w:linePitch="360"/>
        </w:sectPr>
      </w:pPr>
    </w:p>
    <w:p>
      <w:pPr>
        <w:spacing w:before="0" w:after="80"/>
      </w:pPr>
      <w:r>
        <w:rPr>
          <w:sz w:val="16"/>
        </w:rPr>
        <w:t xml:space="preserve"> 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8C4CE"/>
          <w:left w:val="single" w:sz="6" w:space="0" w:color="B8C4CE"/>
          <w:bottom w:val="single" w:sz="6" w:space="0" w:color="B8C4CE"/>
          <w:right w:val="single" w:sz="6" w:space="0" w:color="B8C4CE"/>
          <w:insideH w:val="single" w:sz="6" w:space="0" w:color="B8C4CE"/>
          <w:insideV w:val="single" w:sz="6" w:space="0" w:color="B8C4CE"/>
        </w:tblBorders>
      </w:tblPr>
      <w:tblGrid>
        <w:gridCol w:w="2700"/>
        <w:gridCol w:w="4860"/>
        <w:gridCol w:w="1800"/>
      </w:tblGrid>
      <w:tr>
        <w:trPr>
          <w:cantSplit/>
        </w:trPr>
        <w:tc>
          <w:tcPr>
            <w:tcW w:type="dxa" w:w="27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Проверяемый функционал</w:t>
            </w:r>
          </w:p>
        </w:tc>
        <w:tc>
          <w:tcPr>
            <w:tcW w:type="dxa" w:w="486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Как реализуется либо не реализуется в программе</w:t>
            </w:r>
          </w:p>
        </w:tc>
        <w:tc>
          <w:tcPr>
            <w:tcW w:type="dxa" w:w="18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Статус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E74B5"/>
                <w:sz w:val="17"/>
              </w:rPr>
              <w:t>PRJ-01. Полный цикл проекта от инициативы до результата</w:t>
            </w:r>
          </w:p>
        </w:tc>
        <w:tc>
          <w:tcPr>
            <w:tcW w:type="dxa" w:w="486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43447"/>
                <w:sz w:val="17"/>
              </w:rPr>
              <w:t>Реализованы инициатива, голосование, создание проекта председателем, бюджет, задачи, ответственные, обновления, расходы, документы, подрядчик, фото «до/после» и проверка условий завершения. Нет формальной приемки результата и маршрута согласования изменения сметы.</w:t>
            </w:r>
          </w:p>
        </w:tc>
        <w:tc>
          <w:tcPr>
            <w:tcW w:type="dxa" w:w="18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7A5A00"/>
                <w:sz w:val="17"/>
              </w:rPr>
              <w:t>Частично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E74B5"/>
                <w:sz w:val="17"/>
              </w:rPr>
              <w:t>PRJ-02. Выбор подрядчика и конфликт интересов</w:t>
            </w:r>
          </w:p>
        </w:tc>
        <w:tc>
          <w:tcPr>
            <w:tcW w:type="dxa" w:w="486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43447"/>
                <w:sz w:val="17"/>
              </w:rPr>
              <w:t>Есть реестр подрядчиков, рейтинг, договорная стоимость и привязка к проекту. Нет хранения нескольких предложений, сравнительной таблицы, критериев выбора, декларации конфликта интересов и отвода участника.</w:t>
            </w:r>
          </w:p>
        </w:tc>
        <w:tc>
          <w:tcPr>
            <w:tcW w:type="dxa" w:w="18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  <w:shd w:fill="FCE4E4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9B1C1C"/>
                <w:sz w:val="17"/>
              </w:rPr>
              <w:t>Нет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E74B5"/>
                <w:sz w:val="17"/>
              </w:rPr>
              <w:t>PRJ-03. Гарантийная претензия</w:t>
            </w:r>
          </w:p>
        </w:tc>
        <w:tc>
          <w:tcPr>
            <w:tcW w:type="dxa" w:w="486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43447"/>
                <w:sz w:val="17"/>
              </w:rPr>
              <w:t>В связи проекта с подрядчиком хранится дата окончания гарантии, а обращения имеют историю и фото. Обращение нельзя связать с проектом, подрядчиком, договором или гарантийным обязательством; претензионный процесс отсутствует.</w:t>
            </w:r>
          </w:p>
        </w:tc>
        <w:tc>
          <w:tcPr>
            <w:tcW w:type="dxa" w:w="18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7A5A00"/>
                <w:sz w:val="17"/>
              </w:rPr>
              <w:t>Частично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E74B5"/>
                <w:sz w:val="17"/>
              </w:rPr>
              <w:t>PRJ-04. Повторяющиеся сезонные работы</w:t>
            </w:r>
          </w:p>
        </w:tc>
        <w:tc>
          <w:tcPr>
            <w:tcW w:type="dxa" w:w="486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43447"/>
                <w:sz w:val="17"/>
              </w:rPr>
              <w:t>Можно создавать обычные проекты и задачи со сроками. Нет периодичности, шаблонов сезонных работ, зон обслуживания, автоматического создания повторений и контроля пропуска.</w:t>
            </w:r>
          </w:p>
        </w:tc>
        <w:tc>
          <w:tcPr>
            <w:tcW w:type="dxa" w:w="18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  <w:shd w:fill="FCE4E4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9B1C1C"/>
                <w:sz w:val="17"/>
              </w:rPr>
              <w:t>Нет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E74B5"/>
                <w:sz w:val="17"/>
              </w:rPr>
              <w:t>OPS-01. Ночная авария и массовое оповещение</w:t>
            </w:r>
          </w:p>
        </w:tc>
        <w:tc>
          <w:tcPr>
            <w:tcW w:type="dxa" w:w="486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43447"/>
                <w:sz w:val="17"/>
              </w:rPr>
              <w:t>Есть обращения, аварийные объявления, уведомления в приложении и email. Нет типа аварийного инцидента, объединения сообщений, зоны поражения, дежурства, эскалации, времени следующего обновления и разбора причин.</w:t>
            </w:r>
          </w:p>
        </w:tc>
        <w:tc>
          <w:tcPr>
            <w:tcW w:type="dxa" w:w="18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7A5A00"/>
                <w:sz w:val="17"/>
              </w:rPr>
              <w:t>Частично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E74B5"/>
                <w:sz w:val="17"/>
              </w:rPr>
              <w:t>OPS-02. Обращение, срок, дубли и повторное открытие</w:t>
            </w:r>
          </w:p>
        </w:tc>
        <w:tc>
          <w:tcPr>
            <w:tcW w:type="dxa" w:w="486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43447"/>
                <w:sz w:val="17"/>
              </w:rPr>
              <w:t>Реализованы номер, адрес, координаты, ответственный, срок, статусы, история и обязательное подтверждение результата. Нет объединения дублей, комментариев заявителя к результату и перехода из закрытого состояния обратно в работу.</w:t>
            </w:r>
          </w:p>
        </w:tc>
        <w:tc>
          <w:tcPr>
            <w:tcW w:type="dxa" w:w="18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7A5A00"/>
                <w:sz w:val="17"/>
              </w:rPr>
              <w:t>Частично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E74B5"/>
                <w:sz w:val="17"/>
              </w:rPr>
              <w:t>OPS-03. Плановое отключение и адресное предупреждение</w:t>
            </w:r>
          </w:p>
        </w:tc>
        <w:tc>
          <w:tcPr>
            <w:tcW w:type="dxa" w:w="486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43447"/>
                <w:sz w:val="17"/>
              </w:rPr>
              <w:t>Можно опубликовать объявление со сроком и отправить уведомление всем участникам. Нет выбора улиц или участков, учета уязвимых жителей, подтверждения прочтения критического сообщения и связанного плана подготовительных задач.</w:t>
            </w:r>
          </w:p>
        </w:tc>
        <w:tc>
          <w:tcPr>
            <w:tcW w:type="dxa" w:w="18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7A5A00"/>
                <w:sz w:val="17"/>
              </w:rPr>
              <w:t>Частично</w:t>
            </w:r>
          </w:p>
        </w:tc>
      </w:tr>
    </w:tbl>
    <w:p>
      <w:pPr>
        <w:sectPr>
          <w:pgSz w:w="12240" w:h="15840"/>
          <w:pgMar w:top="1008" w:right="1440" w:bottom="1008" w:left="1440" w:header="708" w:footer="708" w:gutter="0"/>
          <w:cols w:space="720"/>
          <w:docGrid w:linePitch="360"/>
        </w:sectPr>
      </w:pPr>
    </w:p>
    <w:p>
      <w:pPr>
        <w:spacing w:before="0" w:after="80"/>
      </w:pPr>
      <w:r>
        <w:rPr>
          <w:sz w:val="240"/>
        </w:rPr>
        <w:t xml:space="preserve"> 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8C4CE"/>
          <w:left w:val="single" w:sz="6" w:space="0" w:color="B8C4CE"/>
          <w:bottom w:val="single" w:sz="6" w:space="0" w:color="B8C4CE"/>
          <w:right w:val="single" w:sz="6" w:space="0" w:color="B8C4CE"/>
          <w:insideH w:val="single" w:sz="6" w:space="0" w:color="B8C4CE"/>
          <w:insideV w:val="single" w:sz="6" w:space="0" w:color="B8C4CE"/>
        </w:tblBorders>
      </w:tblPr>
      <w:tblGrid>
        <w:gridCol w:w="2700"/>
        <w:gridCol w:w="4860"/>
        <w:gridCol w:w="1800"/>
      </w:tblGrid>
      <w:tr>
        <w:trPr>
          <w:cantSplit/>
        </w:trPr>
        <w:tc>
          <w:tcPr>
            <w:tcW w:type="dxa" w:w="27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Проверяемый функционал</w:t>
            </w:r>
          </w:p>
        </w:tc>
        <w:tc>
          <w:tcPr>
            <w:tcW w:type="dxa" w:w="486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Как реализуется либо не реализуется в программе</w:t>
            </w:r>
          </w:p>
        </w:tc>
        <w:tc>
          <w:tcPr>
            <w:tcW w:type="dxa" w:w="18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Статус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E74B5"/>
                <w:sz w:val="17"/>
              </w:rPr>
              <w:t>OPS-04. Вывоз мусора, задержка и незаконный сброс</w:t>
            </w:r>
          </w:p>
        </w:tc>
        <w:tc>
          <w:tcPr>
            <w:tcW w:type="dxa" w:w="486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43447"/>
                <w:sz w:val="17"/>
              </w:rPr>
              <w:t>Реализованы правила по видам отходов, площадки, график, статусы вывоза, уведомление о задержке и заявка на дополнительный вывоз. Нет претензии к подрядчику, фиксации незаконного сброса как отдельного инцидента и показателей качества услуги.</w:t>
            </w:r>
          </w:p>
        </w:tc>
        <w:tc>
          <w:tcPr>
            <w:tcW w:type="dxa" w:w="18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7A5A00"/>
                <w:sz w:val="17"/>
              </w:rPr>
              <w:t>Частично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E74B5"/>
                <w:sz w:val="17"/>
              </w:rPr>
              <w:t>OPS-05. Временные пропуска и аварийный проезд</w:t>
            </w:r>
          </w:p>
        </w:tc>
        <w:tc>
          <w:tcPr>
            <w:tcW w:type="dxa" w:w="486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43447"/>
                <w:sz w:val="17"/>
              </w:rPr>
              <w:t>На карте можно отметить ворота или шлагбаум. Реестра автомобилей, временных пропусков, сроков, доступа охраны и аварийного открытия нет.</w:t>
            </w:r>
          </w:p>
        </w:tc>
        <w:tc>
          <w:tcPr>
            <w:tcW w:type="dxa" w:w="18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  <w:shd w:fill="FCE4E4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9B1C1C"/>
                <w:sz w:val="17"/>
              </w:rPr>
              <w:t>Нет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E74B5"/>
                <w:sz w:val="17"/>
              </w:rPr>
              <w:t>COM-01. Приоритеты и контроль доставки уведомлений</w:t>
            </w:r>
          </w:p>
        </w:tc>
        <w:tc>
          <w:tcPr>
            <w:tcW w:type="dxa" w:w="486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43447"/>
                <w:sz w:val="17"/>
              </w:rPr>
              <w:t>Есть обычный, важный и аварийный приоритет, пользовательские настройки, уведомления в приложении, email-очередь, повторные попытки и реестр ошибок доставки. Нет push/SMS, адресного резервного канала и гарантированной доставки аварии при отключенных пользователем каналах.</w:t>
            </w:r>
          </w:p>
        </w:tc>
        <w:tc>
          <w:tcPr>
            <w:tcW w:type="dxa" w:w="18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7A5A00"/>
                <w:sz w:val="17"/>
              </w:rPr>
              <w:t>Частично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E74B5"/>
                <w:sz w:val="17"/>
              </w:rPr>
              <w:t>COM-02. Еженедельный дайджест</w:t>
            </w:r>
          </w:p>
        </w:tc>
        <w:tc>
          <w:tcPr>
            <w:tcW w:type="dxa" w:w="486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43447"/>
                <w:sz w:val="17"/>
              </w:rPr>
              <w:t>Дайджест автоматически собирает результаты, проекты, поступления и требуемые действия; председатель публикует его, после чего создаются уведомления и email-доставки.</w:t>
            </w:r>
          </w:p>
        </w:tc>
        <w:tc>
          <w:tcPr>
            <w:tcW w:type="dxa" w:w="18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  <w:shd w:fill="E2F0D9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2E6B35"/>
                <w:sz w:val="17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E74B5"/>
                <w:sz w:val="17"/>
              </w:rPr>
              <w:t>COM-03. Инструкции и полезные контакты для новичка</w:t>
            </w:r>
          </w:p>
        </w:tc>
        <w:tc>
          <w:tcPr>
            <w:tcW w:type="dxa" w:w="486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43447"/>
                <w:sz w:val="17"/>
              </w:rPr>
              <w:t>Есть адрес поселка, полезные контакты, FAQ, правила, инструкции подключения и уставные документы. Нет владельца материала, даты следующей проверки, версий статьи и маршрута сообщения об устаревшем контакте.</w:t>
            </w:r>
          </w:p>
        </w:tc>
        <w:tc>
          <w:tcPr>
            <w:tcW w:type="dxa" w:w="18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7A5A00"/>
                <w:sz w:val="17"/>
              </w:rPr>
              <w:t>Частично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E74B5"/>
                <w:sz w:val="17"/>
              </w:rPr>
              <w:t>COM-04. Каталог навыков и доска услуг</w:t>
            </w:r>
          </w:p>
        </w:tc>
        <w:tc>
          <w:tcPr>
            <w:tcW w:type="dxa" w:w="486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43447"/>
                <w:sz w:val="17"/>
              </w:rPr>
              <w:t>Реализованы добровольный публичный профиль, настройки видимости телефона и email, поиск по навыку и улице, объявления «предлагаю/ищу» и закрытие объявления. Нет срока публикации, очереди модерации, жалобы и формализованного отзыва согласия с историей обработки.</w:t>
            </w:r>
          </w:p>
        </w:tc>
        <w:tc>
          <w:tcPr>
            <w:tcW w:type="dxa" w:w="18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7A5A00"/>
                <w:sz w:val="17"/>
              </w:rPr>
              <w:t>Частично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E74B5"/>
                <w:sz w:val="17"/>
              </w:rPr>
              <w:t>DOC-01. Публичные, внутренние и персональные документы</w:t>
            </w:r>
          </w:p>
        </w:tc>
        <w:tc>
          <w:tcPr>
            <w:tcW w:type="dxa" w:w="486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43447"/>
                <w:sz w:val="17"/>
              </w:rPr>
              <w:t>Файлы имеют уровни «для поселка» и «для управления», доступ проверяется сервером. Персонального уровня нет; реестр документов использует только признак публикации, а общий поиск недостаточно разделяет документы и финансовые сведения по ролям.</w:t>
            </w:r>
          </w:p>
        </w:tc>
        <w:tc>
          <w:tcPr>
            <w:tcW w:type="dxa" w:w="18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7A5A00"/>
                <w:sz w:val="17"/>
              </w:rPr>
              <w:t>Частично</w:t>
            </w:r>
          </w:p>
        </w:tc>
      </w:tr>
    </w:tbl>
    <w:p>
      <w:pPr>
        <w:sectPr>
          <w:pgSz w:w="12240" w:h="15840"/>
          <w:pgMar w:top="1008" w:right="1440" w:bottom="1008" w:left="1440" w:header="708" w:footer="708" w:gutter="0"/>
          <w:cols w:space="720"/>
          <w:docGrid w:linePitch="360"/>
        </w:sectPr>
      </w:pPr>
    </w:p>
    <w:p>
      <w:pPr>
        <w:spacing w:before="0" w:after="80"/>
      </w:pPr>
      <w:r>
        <w:rPr>
          <w:sz w:val="240"/>
        </w:rPr>
        <w:t xml:space="preserve"> 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8C4CE"/>
          <w:left w:val="single" w:sz="6" w:space="0" w:color="B8C4CE"/>
          <w:bottom w:val="single" w:sz="6" w:space="0" w:color="B8C4CE"/>
          <w:right w:val="single" w:sz="6" w:space="0" w:color="B8C4CE"/>
          <w:insideH w:val="single" w:sz="6" w:space="0" w:color="B8C4CE"/>
          <w:insideV w:val="single" w:sz="6" w:space="0" w:color="B8C4CE"/>
        </w:tblBorders>
      </w:tblPr>
      <w:tblGrid>
        <w:gridCol w:w="2700"/>
        <w:gridCol w:w="4860"/>
        <w:gridCol w:w="1800"/>
      </w:tblGrid>
      <w:tr>
        <w:trPr>
          <w:cantSplit/>
        </w:trPr>
        <w:tc>
          <w:tcPr>
            <w:tcW w:type="dxa" w:w="27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Проверяемый функционал</w:t>
            </w:r>
          </w:p>
        </w:tc>
        <w:tc>
          <w:tcPr>
            <w:tcW w:type="dxa" w:w="486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Как реализуется либо не реализуется в программе</w:t>
            </w:r>
          </w:p>
        </w:tc>
        <w:tc>
          <w:tcPr>
            <w:tcW w:type="dxa" w:w="18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Статус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E74B5"/>
                <w:sz w:val="17"/>
              </w:rPr>
              <w:t>DOC-02. Версии и сроки действия документов</w:t>
            </w:r>
          </w:p>
        </w:tc>
        <w:tc>
          <w:tcPr>
            <w:tcW w:type="dxa" w:w="486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43447"/>
                <w:sz w:val="17"/>
              </w:rPr>
              <w:t>Можно загрузить новый документ и связать его с решением, проектом, расходом или подрядчиком. Нет номера редакции, даты вступления и окончания действия, связи «заменяет документ» и выбора версии, действовавшей на заданную дату.</w:t>
            </w:r>
          </w:p>
        </w:tc>
        <w:tc>
          <w:tcPr>
            <w:tcW w:type="dxa" w:w="18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  <w:shd w:fill="FCE4E4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9B1C1C"/>
                <w:sz w:val="17"/>
              </w:rPr>
              <w:t>Нет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E74B5"/>
                <w:sz w:val="17"/>
              </w:rPr>
              <w:t>SEC-01. Изоляция данных разных поселков</w:t>
            </w:r>
          </w:p>
        </w:tc>
        <w:tc>
          <w:tcPr>
            <w:tcW w:type="dxa" w:w="486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43447"/>
                <w:sz w:val="17"/>
              </w:rPr>
              <w:t>Членство и JWT содержат поселок; API повторно загружает членство, а основные запросы фильтруются по communityId. Пользователь может иметь разные роли в разных поселках.</w:t>
            </w:r>
          </w:p>
        </w:tc>
        <w:tc>
          <w:tcPr>
            <w:tcW w:type="dxa" w:w="18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  <w:shd w:fill="E2F0D9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2E6B35"/>
                <w:sz w:val="17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E74B5"/>
                <w:sz w:val="17"/>
              </w:rPr>
              <w:t>SEC-02. Серверные права и отзыв доступа</w:t>
            </w:r>
          </w:p>
        </w:tc>
        <w:tc>
          <w:tcPr>
            <w:tcW w:type="dxa" w:w="486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43447"/>
                <w:sz w:val="17"/>
              </w:rPr>
              <w:t>Роли проверяются middleware на сервере; приостановленное членство блокируется при каждом запросе, поэтому старая сессия не сохраняет доступ. Нет специального журнала отказов и подозрительных попыток, временных разрешений и тонких полномочий.</w:t>
            </w:r>
          </w:p>
        </w:tc>
        <w:tc>
          <w:tcPr>
            <w:tcW w:type="dxa" w:w="18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7A5A00"/>
                <w:sz w:val="17"/>
              </w:rPr>
              <w:t>Частично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E74B5"/>
                <w:sz w:val="17"/>
              </w:rPr>
              <w:t>SEC-03. Восстановление истории спорной операции</w:t>
            </w:r>
          </w:p>
        </w:tc>
        <w:tc>
          <w:tcPr>
            <w:tcW w:type="dxa" w:w="486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43447"/>
                <w:sz w:val="17"/>
              </w:rPr>
              <w:t>Аудит хранит автора, время, действие, состояние до и после для большинства управленческих операций и позволяет фильтровать историю объекта. Не все изменения имеют обязательное основание; часть операций и отказов не журналируется, удаленный файл не сохраняется как доказательство.</w:t>
            </w:r>
          </w:p>
        </w:tc>
        <w:tc>
          <w:tcPr>
            <w:tcW w:type="dxa" w:w="18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7A5A00"/>
                <w:sz w:val="17"/>
              </w:rPr>
              <w:t>Частично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E74B5"/>
                <w:sz w:val="17"/>
              </w:rPr>
              <w:t>SEC-04. Нестабильная сеть и повторная отправка</w:t>
            </w:r>
          </w:p>
        </w:tc>
        <w:tc>
          <w:tcPr>
            <w:tcW w:type="dxa" w:w="486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43447"/>
                <w:sz w:val="17"/>
              </w:rPr>
              <w:t>PWA показывает офлайн-страницу и не кэширует приватные API-ответы. Идемпотентные ключи и защита от повторного создания платежа, расхода или обращения отсутствуют; разрешение конфликтов параллельного редактирования не реализовано.</w:t>
            </w:r>
          </w:p>
        </w:tc>
        <w:tc>
          <w:tcPr>
            <w:tcW w:type="dxa" w:w="18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7A5A00"/>
                <w:sz w:val="17"/>
              </w:rPr>
              <w:t>Частично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E74B5"/>
                <w:sz w:val="17"/>
              </w:rPr>
              <w:t>SEC-05. Резервное копирование и восстановление</w:t>
            </w:r>
          </w:p>
        </w:tc>
        <w:tc>
          <w:tcPr>
            <w:tcW w:type="dxa" w:w="486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43447"/>
                <w:sz w:val="17"/>
              </w:rPr>
              <w:t>Есть скрипты backup/restore, инструкция, миграции при старте и рекомендация отдельно копировать файловое хранилище. Нет автоматического расписания, контроля RPO/RTO и сохраненного протокола регулярной проверки восстановления.</w:t>
            </w:r>
          </w:p>
        </w:tc>
        <w:tc>
          <w:tcPr>
            <w:tcW w:type="dxa" w:w="18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7A5A00"/>
                <w:sz w:val="17"/>
              </w:rPr>
              <w:t>Частично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E74B5"/>
                <w:sz w:val="17"/>
              </w:rPr>
              <w:t>SEC-06. Экспорт, исправление и сроки хранения персональных данных</w:t>
            </w:r>
          </w:p>
        </w:tc>
        <w:tc>
          <w:tcPr>
            <w:tcW w:type="dxa" w:w="486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43447"/>
                <w:sz w:val="17"/>
              </w:rPr>
              <w:t>Пользователь может изменить контактные настройки и закрыть публикацию объявления или профиля. Нет полного экспорта данных субъекта, управляемого исправления во всех реестрах, отзыва согласия, политики сроков хранения и обезличивания бывшего участника.</w:t>
            </w:r>
          </w:p>
        </w:tc>
        <w:tc>
          <w:tcPr>
            <w:tcW w:type="dxa" w:w="18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7A5A00"/>
                <w:sz w:val="17"/>
              </w:rPr>
              <w:t>Частично</w:t>
            </w:r>
          </w:p>
        </w:tc>
      </w:tr>
    </w:tbl>
    <w:sectPr w:rsidR="00FC693F" w:rsidRPr="0006063C" w:rsidSect="00034616">
      <w:pgSz w:w="12240" w:h="15840"/>
      <w:pgMar w:top="1008" w:right="1440" w:bottom="1008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43447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Реестр проверок — ТСН: Управление посёлком</dc:title>
  <dc:subject>Фактическое покрытие реальных сценариев</dc:subject>
  <dc:creator>Команда проекта «ТСН: Управление посёлком»</dc:creator>
  <cp:keywords/>
  <dc:description>Table-only acceptance matrix; compact_reference_guide with table-only margin override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