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BZPM Research Conclusions</w:t>
        <w:br/>
      </w:r>
      <w:r>
        <w:rPr>
          <w:sz w:val="28"/>
        </w:rPr>
        <w:t>Аналитические выводы исследования рынка ЗПМ</w:t>
        <w:br/>
      </w:r>
      <w:r>
        <w:rPr>
          <w:color w:val="666666"/>
          <w:sz w:val="22"/>
        </w:rPr>
        <w:t>Пакет презентации для руководства v2.1 RU  ·  2026-07-02</w:t>
        <w:br/>
        <w:t>Website Factory · MARS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Введение</w:t>
      </w:r>
    </w:p>
    <w:p>
      <w:r>
        <w:rPr>
          <w:b w:val="0"/>
        </w:rPr>
        <w:t>Настоящий документ содержит аналитические выводы программы BZPM Market Intelligence — исследования конкурентного поля в сегменте нейтрального оборудования для общепита. Исследование проводилось в рамках подготовки к разработке нового сайта ЗПМ (Барнаул) и охватывает волны W1–W3Y: от картирования рынка до фиксации операторских UX-наблюдений.</w:t>
      </w:r>
    </w:p>
    <w:p>
      <w:r>
        <w:rPr>
          <w:b w:val="0"/>
        </w:rPr>
        <w:t>Документ не дублирует реестр конкурентов и не является рабочей таблицей. Все выводы основаны на утверждённых authority-материалах: Registry v2, Master Report v1, Operator Insights v1.</w:t>
      </w:r>
    </w:p>
    <w:p>
      <w:pPr>
        <w:pStyle w:val="Heading1"/>
      </w:pPr>
      <w:r>
        <w:rPr>
          <w:color w:val="1F4E79"/>
        </w:rPr>
        <w:t>2. Картина рынка</w:t>
      </w:r>
    </w:p>
    <w:p>
      <w:r>
        <w:rPr>
          <w:b w:val="0"/>
        </w:rPr>
        <w:t>Рынок нейтрального оборудования для общепита структурирован по шести тирам конкурентов (Tier A–F — шкала роли на рынке). Ядро — 10 OEM-производителей (Tier A), федеральные лидеры (Tier B, 8 компаний) и стратегический региональный слой (Tier C, 8 компаний). Дополнительно зафиксированы агрегаторы (Tier D), отраслевые маркетплейсы (Tier E) и международные референсы (Tier F).</w:t>
      </w:r>
    </w:p>
    <w:p>
      <w:pPr>
        <w:pStyle w:val="ListBullet"/>
      </w:pPr>
      <w:r>
        <w:t>Первичная география ЗПМ: Сибирь, Урал, Дальний Восток (штаб-квартира — Барнаул).</w:t>
      </w:r>
    </w:p>
    <w:p>
      <w:pPr>
        <w:pStyle w:val="ListBullet"/>
      </w:pPr>
      <w:r>
        <w:t>Федеральные поставщики доминируют в поисковой видимости (SERP — присутствие в поисковой выдаче): Trapeza (8 появлений), КЛЕН (7).</w:t>
      </w:r>
    </w:p>
    <w:p>
      <w:pPr>
        <w:pStyle w:val="ListBullet"/>
      </w:pPr>
      <w:r>
        <w:t>Региональные пробелы подтверждены: нет dedicated approved entry для Барнаула; Дальний Восток — PARTIAL.</w:t>
      </w:r>
    </w:p>
    <w:p>
      <w:pPr>
        <w:pStyle w:val="ListBullet"/>
      </w:pPr>
      <w:r>
        <w:t>Каноническая вселенная после консолидации: 126 сущностей; 43 кандидата в expansion pipeline (очередь на расширение реестра).</w:t>
      </w:r>
    </w:p>
    <w:p>
      <w:r>
        <w:rPr>
          <w:i/>
          <w:color w:val="666666"/>
          <w:sz w:val="20"/>
        </w:rPr>
        <w:t>Пояснение: Для сайта ЗПМ это означает: конкуренция идёт одновременно с производителями (Tier A), федеральными дистрибьюторами с сильным SEO (Tier B) и региональными игроками. География Сибири/Урала/ДВ — не второстепенный фактор, а зона, где нужно осознанное позиционирование.</w:t>
      </w:r>
    </w:p>
    <w:p>
      <w:pPr>
        <w:pStyle w:val="Heading1"/>
      </w:pPr>
      <w:r>
        <w:rPr>
          <w:color w:val="1F4E79"/>
        </w:rPr>
        <w:t>3. Основные типы производителей</w:t>
      </w:r>
    </w:p>
    <w:p>
      <w:r>
        <w:rPr>
          <w:b w:val="0"/>
        </w:rPr>
        <w:t>В утверждённом реестре (Approved registry — 46 проверенных компаний) зафиксированы восемь типов:</w:t>
      </w:r>
    </w:p>
    <w:p>
      <w:pPr>
        <w:pStyle w:val="ListBullet"/>
      </w:pPr>
      <w:r>
        <w:t>OEM Manufacturer (10) — прямые производители нейтрального оборудования, Tier A.</w:t>
      </w:r>
    </w:p>
    <w:p>
      <w:pPr>
        <w:pStyle w:val="ListBullet"/>
      </w:pPr>
      <w:r>
        <w:t>Federal Supplier (5) — федеральные дистрибьюторы с широким ассортиментом и логистикой.</w:t>
      </w:r>
    </w:p>
    <w:p>
      <w:pPr>
        <w:pStyle w:val="ListBullet"/>
      </w:pPr>
      <w:r>
        <w:t>Regional Supplier (8) — региональные игроки с фокусом на Сибирь, Урал, KZ, BY.</w:t>
      </w:r>
    </w:p>
    <w:p>
      <w:pPr>
        <w:pStyle w:val="ListBullet"/>
      </w:pPr>
      <w:r>
        <w:t>Distributor (3), Aggregator (2), Industry Directory (3), Marketplace (5), International OEM (10).</w:t>
      </w:r>
    </w:p>
    <w:p>
      <w:r>
        <w:rPr>
          <w:b w:val="0"/>
        </w:rPr>
        <w:t>Для ЗПМ наиболее релевантны Tier A OEM (прямая конкуренция по продукту) и Tier B federal (конкуренция за внимание покупателя и SERP-позиции). Tier F служит референсом UX и продуктовых стандартов.</w:t>
      </w:r>
    </w:p>
    <w:p>
      <w:pPr>
        <w:pStyle w:val="Heading1"/>
      </w:pPr>
      <w:r>
        <w:rPr>
          <w:color w:val="1F4E79"/>
        </w:rPr>
        <w:t>4. Ключевые конкуренты</w:t>
      </w:r>
    </w:p>
    <w:p>
      <w:r>
        <w:rPr>
          <w:b w:val="0"/>
        </w:rPr>
        <w:t>По совокупности tier, SERP-видимости и операторского внимания выделяются:</w:t>
      </w:r>
    </w:p>
    <w:p>
      <w:pPr>
        <w:pStyle w:val="ListBullet"/>
      </w:pPr>
      <w:r>
        <w:t>Abat, Restoinox, Finist, Kroner, BSV-inox, Техно-ТТ, УЗНМ — Tier A OEM peers.</w:t>
      </w:r>
    </w:p>
    <w:p>
      <w:pPr>
        <w:pStyle w:val="ListBullet"/>
      </w:pPr>
      <w:r>
        <w:t>Trapeza — федеральный якорь, максимальная SERP-видимость (8×), высокая плотность информации на листинге.</w:t>
      </w:r>
    </w:p>
    <w:p>
      <w:pPr>
        <w:pStyle w:val="ListBullet"/>
      </w:pPr>
      <w:r>
        <w:t>КЛЕН — федеральный лидер, паттерн переключателя вида каталога, SERP 7×.</w:t>
      </w:r>
    </w:p>
    <w:p>
      <w:pPr>
        <w:pStyle w:val="ListBullet"/>
      </w:pPr>
      <w:r>
        <w:t>Kobor, Комплекс Трейд — Strong Expansion, многократное операторское внимание, мультирегиональные подсайты.</w:t>
      </w:r>
    </w:p>
    <w:p>
      <w:pPr>
        <w:pStyle w:val="ListBullet"/>
      </w:pPr>
      <w:r>
        <w:t>УЗНМ — Tier A OEM с покрытием Урал/Сибирь; упрощённый паттерн фильтрации как дифференциатор.</w:t>
      </w:r>
    </w:p>
    <w:p>
      <w:pPr>
        <w:pStyle w:val="Heading1"/>
      </w:pPr>
      <w:r>
        <w:rPr>
          <w:color w:val="1F4E79"/>
        </w:rPr>
        <w:t>5. Benchmark</w:t>
      </w:r>
    </w:p>
    <w:p>
      <w:r>
        <w:rPr>
          <w:b w:val="0"/>
        </w:rPr>
        <w:t>Native Benchmark Group (W3Y) — не формальный рейтинг, а benchmark group (список компаний для анализа конкретных UX-решений), к которым оператор неоднократно возвращался при ручном review. Шесть компаний: УЗНМ, КЛЕН, ГК Юниторг, Trapeza, Kobor, Комплекс Трейд.</w:t>
      </w:r>
    </w:p>
    <w:p>
      <w:pPr>
        <w:pStyle w:val="ListBullet"/>
      </w:pPr>
      <w:r>
        <w:t>УЗНМ — эталон упрощённой фильтрации каталога для OEM peer.</w:t>
      </w:r>
    </w:p>
    <w:p>
      <w:pPr>
        <w:pStyle w:val="ListBullet"/>
      </w:pPr>
      <w:r>
        <w:t>КЛЕН — эталон переключателей вида каталога (grid/list toggle).</w:t>
      </w:r>
    </w:p>
    <w:p>
      <w:pPr>
        <w:pStyle w:val="ListBullet"/>
      </w:pPr>
      <w:r>
        <w:t>ГК Юниторг — эталон двухколоночных карточек на listing.</w:t>
      </w:r>
    </w:p>
    <w:p>
      <w:pPr>
        <w:pStyle w:val="ListBullet"/>
      </w:pPr>
      <w:r>
        <w:t>Trapeza — эталон плотности информации на catalog и PDP surfaces.</w:t>
      </w:r>
    </w:p>
    <w:p>
      <w:pPr>
        <w:pStyle w:val="ListBullet"/>
      </w:pPr>
      <w:r>
        <w:t>Kobor и Комплекс Трейд — эталоны региональной архитектуры (мультигородские подсайты).</w:t>
      </w:r>
    </w:p>
    <w:p>
      <w:r>
        <w:rPr>
          <w:i/>
          <w:color w:val="666666"/>
          <w:sz w:val="20"/>
        </w:rPr>
        <w:t>Пояснение: Benchmark не отвечает на вопрос «кто лучший на рынке». Он указывает, у каких сайтов стоит изучить конкретные решения — фильтры, карточки, региональную структуру — при проектировании ЗПМ.</w:t>
      </w:r>
    </w:p>
    <w:p>
      <w:pPr>
        <w:pStyle w:val="Heading1"/>
      </w:pPr>
      <w:r>
        <w:rPr>
          <w:color w:val="1F4E79"/>
        </w:rPr>
        <w:t>6. Основные закономерности рынка</w:t>
      </w:r>
    </w:p>
    <w:p>
      <w:pPr>
        <w:pStyle w:val="ListBullet"/>
      </w:pPr>
      <w:r>
        <w:t>Федеральное доминирование в SERP при слабой видимости локальных игроков Барнаула.</w:t>
      </w:r>
    </w:p>
    <w:p>
      <w:pPr>
        <w:pStyle w:val="ListBullet"/>
      </w:pPr>
      <w:r>
        <w:t>Региональные OEM/supplier (Kobor, НОТИС, Практика) видимы в поиске, но не все в Approved registry — сигнал для expansion triage.</w:t>
      </w:r>
    </w:p>
    <w:p>
      <w:pPr>
        <w:pStyle w:val="ListBullet"/>
      </w:pPr>
      <w:r>
        <w:t>Архитектура мультигородских подсайтов — стандарт для сильных региональных игроков (Kobor, Комплекс Трейд, Lerius, ФудПром).</w:t>
      </w:r>
    </w:p>
    <w:p>
      <w:pPr>
        <w:pStyle w:val="ListBullet"/>
      </w:pPr>
      <w:r>
        <w:t>Tier C (Strategic Regional Coverage) — критический слой для Сибири/Урала/ДВ, но покрытие неравномерное.</w:t>
      </w:r>
    </w:p>
    <w:p>
      <w:pPr>
        <w:pStyle w:val="ListBullet"/>
      </w:pPr>
      <w:r>
        <w:t>13 Review Required flags в approved registry — неоднозначность tier, не блокирует консолидацию.</w:t>
      </w:r>
    </w:p>
    <w:p>
      <w:pPr>
        <w:pStyle w:val="Heading1"/>
      </w:pPr>
      <w:r>
        <w:rPr>
          <w:color w:val="1F4E79"/>
        </w:rPr>
        <w:t>7. UX-находки</w:t>
      </w:r>
    </w:p>
    <w:p>
      <w:r>
        <w:rPr>
          <w:b w:val="0"/>
        </w:rPr>
        <w:t>Операторские наблюдения W3Y (без scoring):</w:t>
      </w:r>
    </w:p>
    <w:p>
      <w:pPr>
        <w:pStyle w:val="ListBullet"/>
      </w:pPr>
      <w:r>
        <w:t>Упрощённый паттерн фильтрации (УЗНМ) — меньше групп фильтров, чище presentation vs тяжёлые федеральные панели.</w:t>
      </w:r>
    </w:p>
    <w:p>
      <w:pPr>
        <w:pStyle w:val="ListBullet"/>
      </w:pPr>
      <w:r>
        <w:t>Переключатели вида каталога (КЛЕН) — выбор режима отображения на category/catalog surfaces.</w:t>
      </w:r>
    </w:p>
    <w:p>
      <w:pPr>
        <w:pStyle w:val="ListBullet"/>
      </w:pPr>
      <w:r>
        <w:t>Двухколоночные карточки каталога (ГК Юниторг) — двухколоночная структура внутри product card.</w:t>
      </w:r>
    </w:p>
    <w:p>
      <w:pPr>
        <w:pStyle w:val="ListBullet"/>
      </w:pPr>
      <w:r>
        <w:t>Плотность информации (Trapeza) — больше полей для решения на listing без открытия PDP.</w:t>
      </w:r>
    </w:p>
    <w:p>
      <w:pPr>
        <w:pStyle w:val="ListBullet"/>
      </w:pPr>
      <w:r>
        <w:t>Устаревшая коммерческая архитектура (Энтеро) — legacy commercial blocks и B2B flow patterns.</w:t>
      </w:r>
    </w:p>
    <w:p>
      <w:pPr>
        <w:pStyle w:val="ListBullet"/>
      </w:pPr>
      <w:r>
        <w:t>Навигационные паттерны — формально не тегированы в W3Y beyond listed entities.</w:t>
      </w:r>
    </w:p>
    <w:p>
      <w:r>
        <w:rPr>
          <w:i/>
          <w:color w:val="666666"/>
          <w:sz w:val="20"/>
        </w:rPr>
        <w:t>Пояснение: Эти находки напрямую влияют на проектирование сайта ЗПМ: что показывать на листинге, как устроить фильтры OEM-каталога, нужны ли переключатели вида и какая плотность информации ожидается B2B-покупателем.</w:t>
      </w:r>
    </w:p>
    <w:p>
      <w:pPr>
        <w:pStyle w:val="Heading1"/>
      </w:pPr>
      <w:r>
        <w:rPr>
          <w:color w:val="1F4E79"/>
        </w:rPr>
        <w:t>8. Что используют лучшие компании</w:t>
      </w:r>
    </w:p>
    <w:p>
      <w:pPr>
        <w:pStyle w:val="ListBullet"/>
      </w:pPr>
      <w:r>
        <w:t>Высокая плотность информации на listing (Trapeza) — brand, model, section attributes inline.</w:t>
      </w:r>
    </w:p>
    <w:p>
      <w:pPr>
        <w:pStyle w:val="ListBullet"/>
      </w:pPr>
      <w:r>
        <w:t>Переключатели вида для каталога (КЛЕН) — пользовательский выбор layout mode.</w:t>
      </w:r>
    </w:p>
    <w:p>
      <w:pPr>
        <w:pStyle w:val="ListBullet"/>
      </w:pPr>
      <w:r>
        <w:t>Упрощённая фильтрация для OEM-каталогов (УЗНМ) — reduced filter UI.</w:t>
      </w:r>
    </w:p>
    <w:p>
      <w:pPr>
        <w:pStyle w:val="ListBullet"/>
      </w:pPr>
      <w:r>
        <w:t>Двухколоночная структура карточек на listing (ГК Юниторг).</w:t>
      </w:r>
    </w:p>
    <w:p>
      <w:pPr>
        <w:pStyle w:val="ListBullet"/>
      </w:pPr>
      <w:r>
        <w:t>Мультирегиональная архитектура подсайтов (Kobor, Комплекс Трейд, ФудПром).</w:t>
      </w:r>
    </w:p>
    <w:p>
      <w:pPr>
        <w:pStyle w:val="ListBullet"/>
      </w:pPr>
      <w:r>
        <w:t>Плотная структура корня каталога с навигационной и продуктовой информацией per viewport (Trapeza).</w:t>
      </w:r>
    </w:p>
    <w:p>
      <w:pPr>
        <w:pStyle w:val="Heading1"/>
      </w:pPr>
      <w:r>
        <w:rPr>
          <w:color w:val="1F4E79"/>
        </w:rPr>
        <w:t>9. Какие ошибки встречаются чаще всего</w:t>
      </w:r>
    </w:p>
    <w:p>
      <w:pPr>
        <w:pStyle w:val="ListBullet"/>
      </w:pPr>
      <w:r>
        <w:t>Устаревшая коммерческая архитектура — legacy pricing/CTA patterns (наблюдение: Энтеро).</w:t>
      </w:r>
    </w:p>
    <w:p>
      <w:pPr>
        <w:pStyle w:val="ListBullet"/>
      </w:pPr>
      <w:r>
        <w:t>«Тонкие» карточки на listing — мало атрибутов, необходимость открывать PDP для базовых решений (контраст с Trapeza).</w:t>
      </w:r>
    </w:p>
    <w:p>
      <w:pPr>
        <w:pStyle w:val="ListBullet"/>
      </w:pPr>
      <w:r>
        <w:t>Тяжёлые панели фильтров без упрощения — федеральные peers vs упрощённый паттерн УЗНМ.</w:t>
      </w:r>
    </w:p>
    <w:p>
      <w:pPr>
        <w:pStyle w:val="ListBullet"/>
      </w:pPr>
      <w:r>
        <w:t>Региональные blind spots — отсутствие dedicated local presence при federal SERP dominance.</w:t>
      </w:r>
    </w:p>
    <w:p>
      <w:pPr>
        <w:pStyle w:val="ListBullet"/>
      </w:pPr>
      <w:r>
        <w:t>Неоднозначность tier — 13 entities с Review Required flags, неоднозначная классификация роли на рынке.</w:t>
      </w:r>
    </w:p>
    <w:p>
      <w:pPr>
        <w:pStyle w:val="Heading1"/>
      </w:pPr>
      <w:r>
        <w:rPr>
          <w:color w:val="1F4E79"/>
        </w:rPr>
        <w:t>10. Что необходимо использовать в новом сайте ЗПМ</w:t>
      </w:r>
    </w:p>
    <w:p>
      <w:pPr>
        <w:pStyle w:val="ListBullet"/>
      </w:pPr>
      <w:r>
        <w:t>Плотность информации на catalog/PDP — decision-relevant fields visible per screen (референс: Trapeza).</w:t>
      </w:r>
    </w:p>
    <w:p>
      <w:pPr>
        <w:pStyle w:val="ListBullet"/>
      </w:pPr>
      <w:r>
        <w:t>Упрощённый UX фильтров для OEM-каталога — streamlined filter groups (референс: УЗНМ).</w:t>
      </w:r>
    </w:p>
    <w:p>
      <w:pPr>
        <w:pStyle w:val="ListBullet"/>
      </w:pPr>
      <w:r>
        <w:t>Переключатели вида каталога — grid/list toggle где уместно (референс: КЛЕН).</w:t>
      </w:r>
    </w:p>
    <w:p>
      <w:pPr>
        <w:pStyle w:val="ListBullet"/>
      </w:pPr>
      <w:r>
        <w:t>Структурированные product cards с inline attributes на listing (референс: Trapeza, Юниторг dual-column).</w:t>
      </w:r>
    </w:p>
    <w:p>
      <w:pPr>
        <w:pStyle w:val="ListBullet"/>
      </w:pPr>
      <w:r>
        <w:t>Региональная архитектура покрытия — учёт Сибири, Урала, ДВ в структуре сайта (референс: Kobor, Комплекс Трейд).</w:t>
      </w:r>
    </w:p>
    <w:p>
      <w:pPr>
        <w:pStyle w:val="ListBullet"/>
      </w:pPr>
      <w:r>
        <w:t>Benchmark-driven deep review routing — FIM (Future Investigation Markers, маркеры для углублённого изучения) W3Y-001…007 как entry points для W4+ waves.</w:t>
      </w:r>
    </w:p>
    <w:p>
      <w:r>
        <w:rPr>
          <w:i/>
          <w:color w:val="666666"/>
          <w:sz w:val="20"/>
        </w:rPr>
        <w:t>Пояснение: Каждый пункт связан с конкретными страницами будущего сайта: каталог, категории, карточки товара, региональные разделы. При проектировании макетов и прототипов эти паттерны — проверенная отправная точка, а не абстрактные пожелания.</w:t>
      </w:r>
    </w:p>
    <w:p>
      <w:pPr>
        <w:pStyle w:val="Heading1"/>
      </w:pPr>
      <w:r>
        <w:rPr>
          <w:color w:val="1F4E79"/>
        </w:rPr>
        <w:t>11. Что использовать нельзя</w:t>
      </w:r>
    </w:p>
    <w:p>
      <w:pPr>
        <w:pStyle w:val="ListBullet"/>
      </w:pPr>
      <w:r>
        <w:t>Устаревшие паттерны коммерческой архитектуры — legacy B2B purchase flow (антиреференс: Энтеро).</w:t>
      </w:r>
    </w:p>
    <w:p>
      <w:pPr>
        <w:pStyle w:val="ListBullet"/>
      </w:pPr>
      <w:r>
        <w:t>«Тонкие» карточки на listing без ключевых атрибутов.</w:t>
      </w:r>
    </w:p>
    <w:p>
      <w:pPr>
        <w:pStyle w:val="ListBullet"/>
      </w:pPr>
      <w:r>
        <w:t>Копирование тяжёлых федеральных filter panels без адаптации под OEM-каталог ЗПМ.</w:t>
      </w:r>
    </w:p>
    <w:p>
      <w:pPr>
        <w:pStyle w:val="ListBullet"/>
      </w:pPr>
      <w:r>
        <w:t>Игнорирование региональных пробелов — Barnaul gap, Far East PARTIAL coverage.</w:t>
      </w:r>
    </w:p>
    <w:p>
      <w:pPr>
        <w:pStyle w:val="ListBullet"/>
      </w:pPr>
      <w:r>
        <w:t>Массовые маркетплейсы и агрегаторы (Tier D/E) как UX-референс для manufacturer site.</w:t>
      </w:r>
    </w:p>
    <w:p>
      <w:pPr>
        <w:pStyle w:val="Heading1"/>
      </w:pPr>
      <w:r>
        <w:rPr>
          <w:color w:val="1F4E79"/>
        </w:rPr>
        <w:t>12. Приоритеты разработки</w:t>
      </w:r>
    </w:p>
    <w:p>
      <w:r>
        <w:rPr>
          <w:b w:val="0"/>
        </w:rPr>
        <w:t>На основании Master Report Section 9 и W3Y readiness:</w:t>
      </w:r>
    </w:p>
    <w:p>
      <w:pPr>
        <w:pStyle w:val="ListBullet"/>
      </w:pPr>
      <w:r>
        <w:t>P1 cohort для W4 intelligence: Tier A OEM + Trapeza + W1D federal anchors.</w:t>
      </w:r>
    </w:p>
    <w:p>
      <w:pPr>
        <w:pStyle w:val="ListBullet"/>
      </w:pPr>
      <w:r>
        <w:t>Приоритет UX deep-dive: filter UX (УЗНМ), view switchers (КЛЕН), information density (Trapeza), listing cards (Юниторг).</w:t>
      </w:r>
    </w:p>
    <w:p>
      <w:pPr>
        <w:pStyle w:val="ListBullet"/>
      </w:pPr>
      <w:r>
        <w:t>Региональная архитектура: multi-city coverage для Сибири/Урала/ДВ.</w:t>
      </w:r>
    </w:p>
    <w:p>
      <w:pPr>
        <w:pStyle w:val="ListBullet"/>
      </w:pPr>
      <w:r>
        <w:t>Expansion triage: Strong candidates (Kobor, НОТИС, Практика) — SERP-visible но не в Approved registry.</w:t>
      </w:r>
    </w:p>
    <w:p>
      <w:pPr>
        <w:pStyle w:val="ListBullet"/>
      </w:pPr>
      <w:r>
        <w:t>Resolve 13 Review Required tier flags — parallel, non-blocking.</w:t>
      </w:r>
    </w:p>
    <w:p>
      <w:pPr>
        <w:pStyle w:val="ListBullet"/>
      </w:pPr>
      <w:r>
        <w:t>Завершение operator manual review для non-highlighted entities — optional, not W4 gate.</w:t>
      </w:r>
    </w:p>
    <w:p>
      <w:r>
        <w:rPr>
          <w:i/>
          <w:color w:val="666666"/>
          <w:sz w:val="20"/>
        </w:rPr>
        <w:t>Пояснение: В первую очередь — каталог и карточки (P1 cohort + UX-паттерны benchmark group), потому что это ядро B2B-сайта производителя. Региональная архитектура и expansion triage — следующий слой после базовой структуры каталога.</w:t>
      </w:r>
    </w:p>
    <w:p>
      <w:pPr>
        <w:pStyle w:val="Heading1"/>
      </w:pPr>
      <w:r>
        <w:rPr>
          <w:color w:val="1F4E79"/>
        </w:rPr>
        <w:t>13. Практические выводы</w:t>
      </w:r>
    </w:p>
    <w:p>
      <w:pPr>
        <w:pStyle w:val="ListBullet"/>
      </w:pPr>
      <w:r>
        <w:t>Исследование создало воспроизводимый baseline: 126 entities, 46 Approved, полная tier/geography taxonomy.</w:t>
      </w:r>
    </w:p>
    <w:p>
      <w:pPr>
        <w:pStyle w:val="ListBullet"/>
      </w:pPr>
      <w:r>
        <w:t>SERP map подтверждает: для SEO-стратегии ЗПМ критичны федеральные peers (Trapeza, КЛЕН) и региональные visible players.</w:t>
      </w:r>
    </w:p>
    <w:p>
      <w:pPr>
        <w:pStyle w:val="ListBullet"/>
      </w:pPr>
      <w:r>
        <w:t>W3Y operator insights дают конкретные UX entry points — не абстрактные рекомендации, а зафиксированные patterns.</w:t>
      </w:r>
    </w:p>
    <w:p>
      <w:pPr>
        <w:pStyle w:val="ListBullet"/>
      </w:pPr>
      <w:r>
        <w:t>Benchmark group — attention list, не финальный дизайн-гайд; требует W4 deep intelligence validation.</w:t>
      </w:r>
    </w:p>
    <w:p>
      <w:pPr>
        <w:pStyle w:val="ListBullet"/>
      </w:pPr>
      <w:r>
        <w:t>Executive package позволяет через год восстановить контекст исследования без доступа к рабочим файлам.</w:t>
      </w:r>
    </w:p>
    <w:p>
      <w:pPr>
        <w:pStyle w:val="Heading1"/>
      </w:pPr>
      <w:r>
        <w:rPr>
          <w:color w:val="1F4E79"/>
        </w:rPr>
        <w:t>14. Итог исследования</w:t>
      </w:r>
    </w:p>
    <w:p>
      <w:r>
        <w:rPr>
          <w:b w:val="0"/>
        </w:rPr>
        <w:t>Программа BZPM Market Intelligence (W1–W3Y) завершила фазу discovery, registry consolidation и operator insight capture. Сформирована полная карта конкурентного поля с 46 Approved entities, 43 expansion candidates и зафиксированной SERP visibility map. Операторские UX-наблюдения определяют направление для разработки нового сайта ЗПМ: information density, simplified filters, view switchers, structured listing cards и regional architecture.</w:t>
      </w:r>
    </w:p>
    <w:p>
      <w:r>
        <w:rPr>
          <w:b w:val="0"/>
        </w:rPr>
        <w:t>W4 Competitor Intelligence может начинаться на approved P1 cohort с operator observations как routing context. Настоящий Executive Package служит долгосрочным аналитическим продуктом для клиента, руководства и новых участников проекта.</w:t>
      </w:r>
    </w:p>
    <w:p>
      <w:r>
        <w:rPr>
          <w:i/>
          <w:color w:val="666666"/>
          <w:sz w:val="20"/>
        </w:rPr>
        <w:t>Пояснение: Используйте BZPM Market Research.xlsx для обзора данных и диаграмм, этот документ — для выводов и приоритетов. Authority markdown в родительской папке — для верификации и углублённой работы. Версия v2.1 RU: русская локализация и клиентские пояснения без изменения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