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</w:rPr>
        <w:t xml:space="preserve">Vienna Building Model Parameters Appendix</w:t>
      </w:r>
    </w:p>
    <w:p>
      <w:pPr>
        <w:spacing w:after="80"/>
      </w:pPr>
      <w:r>
        <w:t xml:space="preserve">Generated at UTC: 2026-04-16T15:34:37+00:00</w:t>
      </w:r>
    </w:p>
    <w:p>
      <w:pPr>
        <w:spacing w:after="160"/>
      </w:pPr>
      <w:r>
        <w:rPr>
          <w:b/>
          <w:sz w:val="26"/>
        </w:rPr>
        <w:t xml:space="preserve">Scope</w:t>
      </w:r>
    </w:p>
    <w:p>
      <w:pPr>
        <w:spacing w:after="80"/>
      </w:pPr>
      <w:r>
        <w:t xml:space="preserve">• Appendix scope: Vienna cohort-based building model parameters for the current paper path.</w:t>
      </w:r>
    </w:p>
    <w:p>
      <w:pPr>
        <w:spacing w:after="80"/>
      </w:pPr>
      <w:r>
        <w:t xml:space="preserve">• Active runtime variant: thermal_archetypes.variant = calibrated_v1.</w:t>
      </w:r>
    </w:p>
    <w:p>
      <w:pPr>
        <w:spacing w:after="80"/>
      </w:pPr>
      <w:r>
        <w:t xml:space="preserve">• The appendix separates literature-backed fields, pragmatic V1 assumptions, and legacy compatibility fields.</w:t>
      </w:r>
    </w:p>
    <w:p>
      <w:pPr>
        <w:spacing w:after="80"/>
      </w:pPr>
      <w:r>
        <w:t xml:space="preserve">• Case-specific paper JSON overrides can change the global control and thermflex settings; the archetype and calibrated sidecar tables here are the repo SSOT at generation time.</w:t>
      </w:r>
    </w:p>
    <w:p>
      <w:pPr>
        <w:spacing w:after="160"/>
      </w:pPr>
      <w:r>
        <w:rPr>
          <w:b/>
          <w:sz w:val="26"/>
        </w:rPr>
        <w:t xml:space="preserve">Notes</w:t>
      </w:r>
    </w:p>
    <w:p>
      <w:pPr>
        <w:spacing w:after="80"/>
      </w:pPr>
      <w:r>
        <w:t xml:space="preserve">• The calibrated_v1 layer keeps the base envelope and geometry fields intact and adds calibration_v1 as a sidecar payload.</w:t>
      </w:r>
    </w:p>
    <w:p>
      <w:pPr>
        <w:spacing w:after="80"/>
      </w:pPr>
      <w:r>
        <w:t xml:space="preserve">• Runtime thermal dynamics use the calibrated reduced-order fields (effective loss coefficient, effective heat capacity, and tau) when calibrated_v1 is active.</w:t>
      </w:r>
    </w:p>
    <w:p>
      <w:pPr>
        <w:spacing w:after="80"/>
      </w:pPr>
      <w:r>
        <w:t xml:space="preserve">• Event-response bounds use the calibrated preheat/cutback/recovery metrics when the corresponding thermflex constraint switches are enabled.</w:t>
      </w:r>
    </w:p>
    <w:p>
      <w:pPr>
        <w:spacing w:after="80"/>
      </w:pPr>
      <w:r>
        <w:t xml:space="preserve">• Non-residential hot water is intentionally zero in the current Vienna V1 building-stock path.</w:t>
      </w:r>
    </w:p>
    <w:p>
      <w:pPr>
        <w:spacing w:after="80"/>
      </w:pPr>
      <w:r>
        <w:t xml:space="preserve">• Residential archetypes represent apartment-block-like multi-family reference buildings; non-residential archetypes are pragmatic service/office-like V1 proxies.</w:t>
      </w:r>
    </w:p>
    <w:p>
      <w:pPr>
        <w:spacing w:after="80"/>
      </w:pPr>
      <w:r>
        <w:t xml:space="preserve">• The base residential U-values are TABULA-informed cohort seed values, not direct one-to-one TABULA WebTool extractions.</w:t>
      </w:r>
    </w:p>
    <w:p>
      <w:pPr>
        <w:spacing w:after="160"/>
      </w:pPr>
      <w:r>
        <w:rPr>
          <w:b/>
          <w:sz w:val="26"/>
        </w:rPr>
        <w:t xml:space="preserve">Table A. Cohort scaling and stock anchors</w:t>
      </w:r>
    </w:p>
    <w:p>
      <w:pPr>
        <w:spacing w:after="80"/>
      </w:pPr>
      <w:r>
        <w:t xml:space="preserve">These values define the Vienna cohort members that enter the paper runs. They control cohort scale, annual heat anchors, hot-water inclusion, and the mapping from each cohort to a thermal archetype.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shd w:fill="D9E2F3" w:val="clear"/>
          </w:tcPr>
          <w:p>
            <w:r>
              <w:rPr>
                <w:b/>
              </w:rPr>
              <w:t xml:space="preserve">Cohort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Sector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Period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GFA [m2]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Volume [m3]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Annual space heat [kWh/a]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Annual hot water [kWh/a]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HW?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DH share override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Load mix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Sources</w:t>
            </w:r>
          </w:p>
        </w:tc>
      </w:tr>
      <w:tr>
        <w:tc>
          <w:tcPr/>
          <w:p>
            <w:r>
              <w:t xml:space="preserve">residential_pre1975</w:t>
            </w:r>
          </w:p>
        </w:tc>
        <w:tc>
          <w:tcPr/>
          <w:p>
            <w:r>
              <w:t xml:space="preserve">residential</w:t>
            </w:r>
          </w:p>
        </w:tc>
        <w:tc>
          <w:tcPr/>
          <w:p>
            <w:r>
              <w:t xml:space="preserve">pre1975</w:t>
            </w:r>
          </w:p>
        </w:tc>
        <w:tc>
          <w:tcPr/>
          <w:p>
            <w:r>
              <w:t xml:space="preserve">48,559,035</w:t>
            </w:r>
          </w:p>
        </w:tc>
        <w:tc>
          <w:tcPr/>
          <w:p>
            <w:r>
              <w:t xml:space="preserve">145,677,642</w:t>
            </w:r>
          </w:p>
        </w:tc>
        <w:tc>
          <w:tcPr/>
          <w:p>
            <w:r>
              <w:t xml:space="preserve">5,584,485,867</w:t>
            </w:r>
          </w:p>
        </w:tc>
        <w:tc>
          <w:tcPr/>
          <w:p>
            <w:r>
              <w:t xml:space="preserve">752,665,042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H0=1.00</w:t>
            </w:r>
          </w:p>
        </w:tc>
        <w:tc>
          <w:tcPr/>
          <w:p>
            <w:r>
              <w:t xml:space="preserve">BS-1, BS-2, BS-R1</w:t>
            </w:r>
          </w:p>
        </w:tc>
      </w:tr>
      <w:tr>
        <w:tc>
          <w:tcPr/>
          <w:p>
            <w:r>
              <w:t xml:space="preserve">residential_1975_1990</w:t>
            </w:r>
          </w:p>
        </w:tc>
        <w:tc>
          <w:tcPr/>
          <w:p>
            <w:r>
              <w:t xml:space="preserve">residential</w:t>
            </w:r>
          </w:p>
        </w:tc>
        <w:tc>
          <w:tcPr/>
          <w:p>
            <w:r>
              <w:t xml:space="preserve">1975_1990</w:t>
            </w:r>
          </w:p>
        </w:tc>
        <w:tc>
          <w:tcPr/>
          <w:p>
            <w:r>
              <w:t xml:space="preserve">21,581,793</w:t>
            </w:r>
          </w:p>
        </w:tc>
        <w:tc>
          <w:tcPr/>
          <w:p>
            <w:r>
              <w:t xml:space="preserve">64,745,619</w:t>
            </w:r>
          </w:p>
        </w:tc>
        <w:tc>
          <w:tcPr/>
          <w:p>
            <w:r>
              <w:t xml:space="preserve">2,481,993,719</w:t>
            </w:r>
          </w:p>
        </w:tc>
        <w:tc>
          <w:tcPr/>
          <w:p>
            <w:r>
              <w:t xml:space="preserve">334,517,797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H0=1.00</w:t>
            </w:r>
          </w:p>
        </w:tc>
        <w:tc>
          <w:tcPr/>
          <w:p>
            <w:r>
              <w:t xml:space="preserve">BS-1, BS-2, BS-R1</w:t>
            </w:r>
          </w:p>
        </w:tc>
      </w:tr>
      <w:tr>
        <w:tc>
          <w:tcPr/>
          <w:p>
            <w:r>
              <w:t xml:space="preserve">residential_1990_2000</w:t>
            </w:r>
          </w:p>
        </w:tc>
        <w:tc>
          <w:tcPr/>
          <w:p>
            <w:r>
              <w:t xml:space="preserve">residential</w:t>
            </w:r>
          </w:p>
        </w:tc>
        <w:tc>
          <w:tcPr/>
          <w:p>
            <w:r>
              <w:t xml:space="preserve">1990_2000</w:t>
            </w:r>
          </w:p>
        </w:tc>
        <w:tc>
          <w:tcPr/>
          <w:p>
            <w:r>
              <w:t xml:space="preserve">3,596,966</w:t>
            </w:r>
          </w:p>
        </w:tc>
        <w:tc>
          <w:tcPr/>
          <w:p>
            <w:r>
              <w:t xml:space="preserve">10,790,936</w:t>
            </w:r>
          </w:p>
        </w:tc>
        <w:tc>
          <w:tcPr/>
          <w:p>
            <w:r>
              <w:t xml:space="preserve">413,665,620</w:t>
            </w:r>
          </w:p>
        </w:tc>
        <w:tc>
          <w:tcPr/>
          <w:p>
            <w:r>
              <w:t xml:space="preserve">55,752,966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H0=1.00</w:t>
            </w:r>
          </w:p>
        </w:tc>
        <w:tc>
          <w:tcPr/>
          <w:p>
            <w:r>
              <w:t xml:space="preserve">BS-1, BS-2, BS-R1</w:t>
            </w:r>
          </w:p>
        </w:tc>
      </w:tr>
      <w:tr>
        <w:tc>
          <w:tcPr/>
          <w:p>
            <w:r>
              <w:t xml:space="preserve">residential_2000_2014</w:t>
            </w:r>
          </w:p>
        </w:tc>
        <w:tc>
          <w:tcPr/>
          <w:p>
            <w:r>
              <w:t xml:space="preserve">residential</w:t>
            </w:r>
          </w:p>
        </w:tc>
        <w:tc>
          <w:tcPr/>
          <w:p>
            <w:r>
              <w:t xml:space="preserve">2000_2014</w:t>
            </w:r>
          </w:p>
        </w:tc>
        <w:tc>
          <w:tcPr/>
          <w:p>
            <w:r>
              <w:t xml:space="preserve">15,287,104</w:t>
            </w:r>
          </w:p>
        </w:tc>
        <w:tc>
          <w:tcPr/>
          <w:p>
            <w:r>
              <w:t xml:space="preserve">45,861,480</w:t>
            </w:r>
          </w:p>
        </w:tc>
        <w:tc>
          <w:tcPr/>
          <w:p>
            <w:r>
              <w:t xml:space="preserve">1,758,078,884</w:t>
            </w:r>
          </w:p>
        </w:tc>
        <w:tc>
          <w:tcPr/>
          <w:p>
            <w:r>
              <w:t xml:space="preserve">236,950,106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H0=1.00</w:t>
            </w:r>
          </w:p>
        </w:tc>
        <w:tc>
          <w:tcPr/>
          <w:p>
            <w:r>
              <w:t xml:space="preserve">BS-1, BS-2, BS-R1</w:t>
            </w:r>
          </w:p>
        </w:tc>
      </w:tr>
      <w:tr>
        <w:tc>
          <w:tcPr/>
          <w:p>
            <w:r>
              <w:t xml:space="preserve">non_residential_pre1975</w:t>
            </w:r>
          </w:p>
        </w:tc>
        <w:tc>
          <w:tcPr/>
          <w:p>
            <w:r>
              <w:t xml:space="preserve">non_residential</w:t>
            </w:r>
          </w:p>
        </w:tc>
        <w:tc>
          <w:tcPr/>
          <w:p>
            <w:r>
              <w:t xml:space="preserve">pre1975</w:t>
            </w:r>
          </w:p>
        </w:tc>
        <w:tc>
          <w:tcPr/>
          <w:p>
            <w:r>
              <w:t xml:space="preserve">24,835,441</w:t>
            </w:r>
          </w:p>
        </w:tc>
        <w:tc>
          <w:tcPr/>
          <w:p>
            <w:r>
              <w:t xml:space="preserve">74,505,691</w:t>
            </w:r>
          </w:p>
        </w:tc>
        <w:tc>
          <w:tcPr/>
          <w:p>
            <w:r>
              <w:t xml:space="preserve">3,227,863,636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G0=0.25; G1=0.25; G2=0.25; G3=0.25</w:t>
            </w:r>
          </w:p>
        </w:tc>
        <w:tc>
          <w:tcPr/>
          <w:p>
            <w:r>
              <w:t xml:space="preserve">BS-1, BS-2, BS-R1</w:t>
            </w:r>
          </w:p>
        </w:tc>
      </w:tr>
      <w:tr>
        <w:tc>
          <w:tcPr/>
          <w:p>
            <w:r>
              <w:t xml:space="preserve">non_residential_1975_1990</w:t>
            </w:r>
          </w:p>
        </w:tc>
        <w:tc>
          <w:tcPr/>
          <w:p>
            <w:r>
              <w:t xml:space="preserve">non_residential</w:t>
            </w:r>
          </w:p>
        </w:tc>
        <w:tc>
          <w:tcPr/>
          <w:p>
            <w:r>
              <w:t xml:space="preserve">1975_1990</w:t>
            </w:r>
          </w:p>
        </w:tc>
        <w:tc>
          <w:tcPr/>
          <w:p>
            <w:r>
              <w:t xml:space="preserve">11,037,974</w:t>
            </w:r>
          </w:p>
        </w:tc>
        <w:tc>
          <w:tcPr/>
          <w:p>
            <w:r>
              <w:t xml:space="preserve">33,113,640</w:t>
            </w:r>
          </w:p>
        </w:tc>
        <w:tc>
          <w:tcPr/>
          <w:p>
            <w:r>
              <w:t xml:space="preserve">1,434,606,061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G0=0.25; G1=0.25; G2=0.25; G3=0.25</w:t>
            </w:r>
          </w:p>
        </w:tc>
        <w:tc>
          <w:tcPr/>
          <w:p>
            <w:r>
              <w:t xml:space="preserve">BS-1, BS-2, BS-R1</w:t>
            </w:r>
          </w:p>
        </w:tc>
      </w:tr>
      <w:tr>
        <w:tc>
          <w:tcPr/>
          <w:p>
            <w:r>
              <w:t xml:space="preserve">non_residential_1990_2000</w:t>
            </w:r>
          </w:p>
        </w:tc>
        <w:tc>
          <w:tcPr/>
          <w:p>
            <w:r>
              <w:t xml:space="preserve">non_residential</w:t>
            </w:r>
          </w:p>
        </w:tc>
        <w:tc>
          <w:tcPr/>
          <w:p>
            <w:r>
              <w:t xml:space="preserve">1990_2000</w:t>
            </w:r>
          </w:p>
        </w:tc>
        <w:tc>
          <w:tcPr/>
          <w:p>
            <w:r>
              <w:t xml:space="preserve">1,839,662</w:t>
            </w:r>
          </w:p>
        </w:tc>
        <w:tc>
          <w:tcPr/>
          <w:p>
            <w:r>
              <w:t xml:space="preserve">5,518,940</w:t>
            </w:r>
          </w:p>
        </w:tc>
        <w:tc>
          <w:tcPr/>
          <w:p>
            <w:r>
              <w:t xml:space="preserve">239,101,010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G0=0.25; G1=0.25; G2=0.25; G3=0.25</w:t>
            </w:r>
          </w:p>
        </w:tc>
        <w:tc>
          <w:tcPr/>
          <w:p>
            <w:r>
              <w:t xml:space="preserve">BS-1, BS-2, BS-R1</w:t>
            </w:r>
          </w:p>
        </w:tc>
      </w:tr>
      <w:tr>
        <w:tc>
          <w:tcPr/>
          <w:p>
            <w:r>
              <w:t xml:space="preserve">non_residential_2000_2014</w:t>
            </w:r>
          </w:p>
        </w:tc>
        <w:tc>
          <w:tcPr/>
          <w:p>
            <w:r>
              <w:t xml:space="preserve">non_residential</w:t>
            </w:r>
          </w:p>
        </w:tc>
        <w:tc>
          <w:tcPr/>
          <w:p>
            <w:r>
              <w:t xml:space="preserve">2000_2014</w:t>
            </w:r>
          </w:p>
        </w:tc>
        <w:tc>
          <w:tcPr/>
          <w:p>
            <w:r>
              <w:t xml:space="preserve">7,818,565</w:t>
            </w:r>
          </w:p>
        </w:tc>
        <w:tc>
          <w:tcPr/>
          <w:p>
            <w:r>
              <w:t xml:space="preserve">23,455,495</w:t>
            </w:r>
          </w:p>
        </w:tc>
        <w:tc>
          <w:tcPr/>
          <w:p>
            <w:r>
              <w:t xml:space="preserve">1,016,179,293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G0=0.25; G1=0.25; G2=0.25; G3=0.25</w:t>
            </w:r>
          </w:p>
        </w:tc>
        <w:tc>
          <w:tcPr/>
          <w:p>
            <w:r>
              <w:t xml:space="preserve">BS-1, BS-2, BS-R1</w:t>
            </w:r>
          </w:p>
        </w:tc>
      </w:tr>
    </w:tbl>
    <w:p>
      <w:pPr>
        <w:spacing w:after="160"/>
      </w:pPr>
      <w:r>
        <w:rPr>
          <w:b/>
          <w:sz w:val="26"/>
        </w:rPr>
        <w:t xml:space="preserve">Table B. Base envelope and geometry archetype parameters</w:t>
      </w:r>
    </w:p>
    <w:p>
      <w:pPr>
        <w:spacing w:after="80"/>
      </w:pPr>
      <w:r>
        <w:t xml:space="preserve">These are the base Vienna archetype parameters before the calibrated_v1 sidecar is applied. The fields remain part of the active runtime path. The residential period ladder is TABULA-informed, but the values are simplified cohort seed values rather than direct one-to-one TABULA WebTool extractions.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shd w:fill="D9E2F3" w:val="clear"/>
          </w:tcPr>
          <w:p>
            <w:r>
              <w:rPr>
                <w:b/>
              </w:rPr>
              <w:t xml:space="preserve">Archetype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U_wall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U_window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U_roof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U_floor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Wall/GFA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Window/GFA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Roof/GFA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Floor/GFA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Cond. floor share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Sources</w:t>
            </w:r>
          </w:p>
        </w:tc>
      </w:tr>
      <w:tr>
        <w:tc>
          <w:tcPr/>
          <w:p>
            <w:r>
              <w:t xml:space="preserve">residential_pre1975</w:t>
            </w:r>
          </w:p>
        </w:tc>
        <w:tc>
          <w:tcPr/>
          <w:p>
            <w:r>
              <w:t xml:space="preserve">1.40</w:t>
            </w:r>
          </w:p>
        </w:tc>
        <w:tc>
          <w:tcPr/>
          <w:p>
            <w:r>
              <w:t xml:space="preserve">2.30</w:t>
            </w:r>
          </w:p>
        </w:tc>
        <w:tc>
          <w:tcPr/>
          <w:p>
            <w:r>
              <w:t xml:space="preserve">1.70</w:t>
            </w:r>
          </w:p>
        </w:tc>
        <w:tc>
          <w:tcPr/>
          <w:p>
            <w:r>
              <w:t xml:space="preserve">1.20</w:t>
            </w:r>
          </w:p>
        </w:tc>
        <w:tc>
          <w:tcPr/>
          <w:p>
            <w:r>
              <w:t xml:space="preserve">0.82</w:t>
            </w:r>
          </w:p>
        </w:tc>
        <w:tc>
          <w:tcPr/>
          <w:p>
            <w:r>
              <w:t xml:space="preserve">0.18</w:t>
            </w:r>
          </w:p>
        </w:tc>
        <w:tc>
          <w:tcPr/>
          <w:p>
            <w:r>
              <w:t xml:space="preserve">0.37</w:t>
            </w:r>
          </w:p>
        </w:tc>
        <w:tc>
          <w:tcPr/>
          <w:p>
            <w:r>
              <w:t xml:space="preserve">0.36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AR-1, AR-2, AR-5, AR-7</w:t>
            </w:r>
          </w:p>
        </w:tc>
      </w:tr>
      <w:tr>
        <w:tc>
          <w:tcPr/>
          <w:p>
            <w:r>
              <w:t xml:space="preserve">residential_1975_1990</w:t>
            </w:r>
          </w:p>
        </w:tc>
        <w:tc>
          <w:tcPr/>
          <w:p>
            <w:r>
              <w:t xml:space="preserve">1.10</w:t>
            </w:r>
          </w:p>
        </w:tc>
        <w:tc>
          <w:tcPr/>
          <w:p>
            <w:r>
              <w:t xml:space="preserve">2.70</w:t>
            </w:r>
          </w:p>
        </w:tc>
        <w:tc>
          <w:tcPr/>
          <w:p>
            <w:r>
              <w:t xml:space="preserve">0.80</w:t>
            </w:r>
          </w:p>
        </w:tc>
        <w:tc>
          <w:tcPr/>
          <w:p>
            <w:r>
              <w:t xml:space="preserve">0.80</w:t>
            </w:r>
          </w:p>
        </w:tc>
        <w:tc>
          <w:tcPr/>
          <w:p>
            <w:r>
              <w:t xml:space="preserve">0.82</w:t>
            </w:r>
          </w:p>
        </w:tc>
        <w:tc>
          <w:tcPr/>
          <w:p>
            <w:r>
              <w:t xml:space="preserve">0.18</w:t>
            </w:r>
          </w:p>
        </w:tc>
        <w:tc>
          <w:tcPr/>
          <w:p>
            <w:r>
              <w:t xml:space="preserve">0.37</w:t>
            </w:r>
          </w:p>
        </w:tc>
        <w:tc>
          <w:tcPr/>
          <w:p>
            <w:r>
              <w:t xml:space="preserve">0.36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AR-1, AR-2, AR-5, AR-7</w:t>
            </w:r>
          </w:p>
        </w:tc>
      </w:tr>
      <w:tr>
        <w:tc>
          <w:tcPr/>
          <w:p>
            <w:r>
              <w:t xml:space="preserve">residential_1990_2000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2.50</w:t>
            </w:r>
          </w:p>
        </w:tc>
        <w:tc>
          <w:tcPr/>
          <w:p>
            <w:r>
              <w:t xml:space="preserve">0.50</w:t>
            </w:r>
          </w:p>
        </w:tc>
        <w:tc>
          <w:tcPr/>
          <w:p>
            <w:r>
              <w:t xml:space="preserve">0.50</w:t>
            </w:r>
          </w:p>
        </w:tc>
        <w:tc>
          <w:tcPr/>
          <w:p>
            <w:r>
              <w:t xml:space="preserve">0.82</w:t>
            </w:r>
          </w:p>
        </w:tc>
        <w:tc>
          <w:tcPr/>
          <w:p>
            <w:r>
              <w:t xml:space="preserve">0.18</w:t>
            </w:r>
          </w:p>
        </w:tc>
        <w:tc>
          <w:tcPr/>
          <w:p>
            <w:r>
              <w:t xml:space="preserve">0.37</w:t>
            </w:r>
          </w:p>
        </w:tc>
        <w:tc>
          <w:tcPr/>
          <w:p>
            <w:r>
              <w:t xml:space="preserve">0.36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AR-1, AR-2, AR-5, AR-7</w:t>
            </w:r>
          </w:p>
        </w:tc>
      </w:tr>
      <w:tr>
        <w:tc>
          <w:tcPr/>
          <w:p>
            <w:r>
              <w:t xml:space="preserve">residential_2000_2014</w:t>
            </w:r>
          </w:p>
        </w:tc>
        <w:tc>
          <w:tcPr/>
          <w:p>
            <w:r>
              <w:t xml:space="preserve">0.35</w:t>
            </w:r>
          </w:p>
        </w:tc>
        <w:tc>
          <w:tcPr/>
          <w:p>
            <w:r>
              <w:t xml:space="preserve">1.40</w:t>
            </w:r>
          </w:p>
        </w:tc>
        <w:tc>
          <w:tcPr/>
          <w:p>
            <w:r>
              <w:t xml:space="preserve">0.20</w:t>
            </w:r>
          </w:p>
        </w:tc>
        <w:tc>
          <w:tcPr/>
          <w:p>
            <w:r>
              <w:t xml:space="preserve">0.40</w:t>
            </w:r>
          </w:p>
        </w:tc>
        <w:tc>
          <w:tcPr/>
          <w:p>
            <w:r>
              <w:t xml:space="preserve">0.82</w:t>
            </w:r>
          </w:p>
        </w:tc>
        <w:tc>
          <w:tcPr/>
          <w:p>
            <w:r>
              <w:t xml:space="preserve">0.18</w:t>
            </w:r>
          </w:p>
        </w:tc>
        <w:tc>
          <w:tcPr/>
          <w:p>
            <w:r>
              <w:t xml:space="preserve">0.37</w:t>
            </w:r>
          </w:p>
        </w:tc>
        <w:tc>
          <w:tcPr/>
          <w:p>
            <w:r>
              <w:t xml:space="preserve">0.36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AR-1, AR-2, AR-5, AR-7</w:t>
            </w:r>
          </w:p>
        </w:tc>
      </w:tr>
      <w:tr>
        <w:tc>
          <w:tcPr/>
          <w:p>
            <w:r>
              <w:t xml:space="preserve">non_residential_pre1975</w:t>
            </w:r>
          </w:p>
        </w:tc>
        <w:tc>
          <w:tcPr/>
          <w:p>
            <w:r>
              <w:t xml:space="preserve">1.40</w:t>
            </w:r>
          </w:p>
        </w:tc>
        <w:tc>
          <w:tcPr/>
          <w:p>
            <w:r>
              <w:t xml:space="preserve">2.30</w:t>
            </w:r>
          </w:p>
        </w:tc>
        <w:tc>
          <w:tcPr/>
          <w:p>
            <w:r>
              <w:t xml:space="preserve">1.70</w:t>
            </w:r>
          </w:p>
        </w:tc>
        <w:tc>
          <w:tcPr/>
          <w:p>
            <w:r>
              <w:t xml:space="preserve">1.20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0.12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AR-1, AR-2, AR-5, AR-7</w:t>
            </w:r>
          </w:p>
        </w:tc>
      </w:tr>
      <w:tr>
        <w:tc>
          <w:tcPr/>
          <w:p>
            <w:r>
              <w:t xml:space="preserve">non_residential_1975_1990</w:t>
            </w:r>
          </w:p>
        </w:tc>
        <w:tc>
          <w:tcPr/>
          <w:p>
            <w:r>
              <w:t xml:space="preserve">1.10</w:t>
            </w:r>
          </w:p>
        </w:tc>
        <w:tc>
          <w:tcPr/>
          <w:p>
            <w:r>
              <w:t xml:space="preserve">2.70</w:t>
            </w:r>
          </w:p>
        </w:tc>
        <w:tc>
          <w:tcPr/>
          <w:p>
            <w:r>
              <w:t xml:space="preserve">0.80</w:t>
            </w:r>
          </w:p>
        </w:tc>
        <w:tc>
          <w:tcPr/>
          <w:p>
            <w:r>
              <w:t xml:space="preserve">0.80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0.12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AR-1, AR-2, AR-5, AR-7</w:t>
            </w:r>
          </w:p>
        </w:tc>
      </w:tr>
      <w:tr>
        <w:tc>
          <w:tcPr/>
          <w:p>
            <w:r>
              <w:t xml:space="preserve">non_residential_1990_2000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2.50</w:t>
            </w:r>
          </w:p>
        </w:tc>
        <w:tc>
          <w:tcPr/>
          <w:p>
            <w:r>
              <w:t xml:space="preserve">0.50</w:t>
            </w:r>
          </w:p>
        </w:tc>
        <w:tc>
          <w:tcPr/>
          <w:p>
            <w:r>
              <w:t xml:space="preserve">0.50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0.12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AR-1, AR-2, AR-5, AR-7</w:t>
            </w:r>
          </w:p>
        </w:tc>
      </w:tr>
      <w:tr>
        <w:tc>
          <w:tcPr/>
          <w:p>
            <w:r>
              <w:t xml:space="preserve">non_residential_2000_2014</w:t>
            </w:r>
          </w:p>
        </w:tc>
        <w:tc>
          <w:tcPr/>
          <w:p>
            <w:r>
              <w:t xml:space="preserve">0.35</w:t>
            </w:r>
          </w:p>
        </w:tc>
        <w:tc>
          <w:tcPr/>
          <w:p>
            <w:r>
              <w:t xml:space="preserve">1.40</w:t>
            </w:r>
          </w:p>
        </w:tc>
        <w:tc>
          <w:tcPr/>
          <w:p>
            <w:r>
              <w:t xml:space="preserve">0.20</w:t>
            </w:r>
          </w:p>
        </w:tc>
        <w:tc>
          <w:tcPr/>
          <w:p>
            <w:r>
              <w:t xml:space="preserve">0.40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0.12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AR-1, AR-2, AR-5, AR-7</w:t>
            </w:r>
          </w:p>
        </w:tc>
      </w:tr>
    </w:tbl>
    <w:p>
      <w:pPr>
        <w:spacing w:after="160"/>
      </w:pPr>
      <w:r>
        <w:rPr>
          <w:b/>
          <w:sz w:val="26"/>
        </w:rPr>
        <w:t xml:space="preserve">Table C. Base thermal-mass, comfort, and window metadata</w:t>
      </w:r>
    </w:p>
    <w:p>
      <w:pPr>
        <w:spacing w:after="80"/>
      </w:pPr>
      <w:r>
        <w:t xml:space="preserve">These fields are still attached to the archetype layer. Source quality is mixed: some fields are literature-backed, while others remain pragmatic V1 assumptions and are marked accordingly.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shd w:fill="D9E2F3" w:val="clear"/>
          </w:tcPr>
          <w:p>
            <w:r>
              <w:rPr>
                <w:b/>
              </w:rPr>
              <w:t xml:space="preserve">Archetype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c_th [Wh/m2K]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T_min [C]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T_max [C]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Window typology class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Glazing source tag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Solar/shading assumption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Sources</w:t>
            </w:r>
          </w:p>
        </w:tc>
      </w:tr>
      <w:tr>
        <w:tc>
          <w:tcPr/>
          <w:p>
            <w:r>
              <w:t xml:space="preserve">residential_pre1975</w:t>
            </w:r>
          </w:p>
        </w:tc>
        <w:tc>
          <w:tcPr/>
          <w:p>
            <w:r>
              <w:t xml:space="preserve">80.0</w:t>
            </w:r>
          </w:p>
        </w:tc>
        <w:tc>
          <w:tcPr/>
          <w:p>
            <w:r>
              <w:t xml:space="preserve">21.00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single_glazing_box_type_or_wood_frame</w:t>
            </w:r>
          </w:p>
        </w:tc>
        <w:tc>
          <w:tcPr/>
          <w:p>
            <w:r>
              <w:t xml:space="preserve">AT_TABULA_ScientificReport_AEA_period_window_typologies</w:t>
            </w:r>
          </w:p>
        </w:tc>
        <w:tc>
          <w:tcPr/>
          <w:p>
            <w:r>
              <w:t xml:space="preserve">TABULA_common_procedure_standard_shading_values_pending_cohort_specific_refinement</w:t>
            </w:r>
          </w:p>
        </w:tc>
        <w:tc>
          <w:tcPr/>
          <w:p>
            <w:r>
              <w:t xml:space="preserve">AR-2, AR-3, AR-4, AR-6, AR-R1</w:t>
            </w:r>
          </w:p>
        </w:tc>
      </w:tr>
      <w:tr>
        <w:tc>
          <w:tcPr/>
          <w:p>
            <w:r>
              <w:t xml:space="preserve">residential_1975_1990</w:t>
            </w:r>
          </w:p>
        </w:tc>
        <w:tc>
          <w:tcPr/>
          <w:p>
            <w:r>
              <w:t xml:space="preserve">75.0</w:t>
            </w:r>
          </w:p>
        </w:tc>
        <w:tc>
          <w:tcPr/>
          <w:p>
            <w:r>
              <w:t xml:space="preserve">21.00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double_glazing_composite_window</w:t>
            </w:r>
          </w:p>
        </w:tc>
        <w:tc>
          <w:tcPr/>
          <w:p>
            <w:r>
              <w:t xml:space="preserve">AT_TABULA_ScientificReport_AEA_period_window_typologies</w:t>
            </w:r>
          </w:p>
        </w:tc>
        <w:tc>
          <w:tcPr/>
          <w:p>
            <w:r>
              <w:t xml:space="preserve">TABULA_common_procedure_standard_shading_values_pending_cohort_specific_refinement</w:t>
            </w:r>
          </w:p>
        </w:tc>
        <w:tc>
          <w:tcPr/>
          <w:p>
            <w:r>
              <w:t xml:space="preserve">AR-2, AR-3, AR-4, AR-6, AR-R1</w:t>
            </w:r>
          </w:p>
        </w:tc>
      </w:tr>
      <w:tr>
        <w:tc>
          <w:tcPr/>
          <w:p>
            <w:r>
              <w:t xml:space="preserve">residential_1990_2000</w:t>
            </w:r>
          </w:p>
        </w:tc>
        <w:tc>
          <w:tcPr/>
          <w:p>
            <w:r>
              <w:t xml:space="preserve">70.0</w:t>
            </w:r>
          </w:p>
        </w:tc>
        <w:tc>
          <w:tcPr/>
          <w:p>
            <w:r>
              <w:t xml:space="preserve">21.00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heat_protection_glazing</w:t>
            </w:r>
          </w:p>
        </w:tc>
        <w:tc>
          <w:tcPr/>
          <w:p>
            <w:r>
              <w:t xml:space="preserve">AT_TABULA_ScientificReport_AEA_period_window_typologies</w:t>
            </w:r>
          </w:p>
        </w:tc>
        <w:tc>
          <w:tcPr/>
          <w:p>
            <w:r>
              <w:t xml:space="preserve">TABULA_common_procedure_standard_shading_values_pending_cohort_specific_refinement</w:t>
            </w:r>
          </w:p>
        </w:tc>
        <w:tc>
          <w:tcPr/>
          <w:p>
            <w:r>
              <w:t xml:space="preserve">AR-2, AR-3, AR-4, AR-6, AR-R1</w:t>
            </w:r>
          </w:p>
        </w:tc>
      </w:tr>
      <w:tr>
        <w:tc>
          <w:tcPr/>
          <w:p>
            <w:r>
              <w:t xml:space="preserve">residential_2000_2014</w:t>
            </w:r>
          </w:p>
        </w:tc>
        <w:tc>
          <w:tcPr/>
          <w:p>
            <w:r>
              <w:t xml:space="preserve">65.0</w:t>
            </w:r>
          </w:p>
        </w:tc>
        <w:tc>
          <w:tcPr/>
          <w:p>
            <w:r>
              <w:t xml:space="preserve">21.00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triple_glazing_or_high_performance_window</w:t>
            </w:r>
          </w:p>
        </w:tc>
        <w:tc>
          <w:tcPr/>
          <w:p>
            <w:r>
              <w:t xml:space="preserve">AT_TABULA_ScientificReport_AEA_period_window_typologies</w:t>
            </w:r>
          </w:p>
        </w:tc>
        <w:tc>
          <w:tcPr/>
          <w:p>
            <w:r>
              <w:t xml:space="preserve">TABULA_common_procedure_standard_shading_values_pending_cohort_specific_refinement</w:t>
            </w:r>
          </w:p>
        </w:tc>
        <w:tc>
          <w:tcPr/>
          <w:p>
            <w:r>
              <w:t xml:space="preserve">AR-2, AR-3, AR-4, AR-6, AR-R1</w:t>
            </w:r>
          </w:p>
        </w:tc>
      </w:tr>
      <w:tr>
        <w:tc>
          <w:tcPr/>
          <w:p>
            <w:r>
              <w:t xml:space="preserve">non_residential_pre1975</w:t>
            </w:r>
          </w:p>
        </w:tc>
        <w:tc>
          <w:tcPr/>
          <w:p>
            <w:r>
              <w:t xml:space="preserve">70.0</w:t>
            </w:r>
          </w:p>
        </w:tc>
        <w:tc>
          <w:tcPr/>
          <w:p>
            <w:r>
              <w:t xml:space="preserve">21.00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non_residential_v1_placeholder_no_source_backed_window_typology</w:t>
            </w:r>
          </w:p>
        </w:tc>
        <w:tc>
          <w:tcPr/>
          <w:p>
            <w:r>
              <w:t xml:space="preserve">TABULA_common_procedure_standard_shading_values_pending_cohort_specific_refinement</w:t>
            </w:r>
          </w:p>
        </w:tc>
        <w:tc>
          <w:tcPr/>
          <w:p>
            <w:r>
              <w:t xml:space="preserve">AR-2, AR-3, AR-4, AR-6, AR-R1</w:t>
            </w:r>
          </w:p>
        </w:tc>
      </w:tr>
      <w:tr>
        <w:tc>
          <w:tcPr/>
          <w:p>
            <w:r>
              <w:t xml:space="preserve">non_residential_1975_1990</w:t>
            </w:r>
          </w:p>
        </w:tc>
        <w:tc>
          <w:tcPr/>
          <w:p>
            <w:r>
              <w:t xml:space="preserve">65.0</w:t>
            </w:r>
          </w:p>
        </w:tc>
        <w:tc>
          <w:tcPr/>
          <w:p>
            <w:r>
              <w:t xml:space="preserve">21.00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non_residential_v1_placeholder_no_source_backed_window_typology</w:t>
            </w:r>
          </w:p>
        </w:tc>
        <w:tc>
          <w:tcPr/>
          <w:p>
            <w:r>
              <w:t xml:space="preserve">TABULA_common_procedure_standard_shading_values_pending_cohort_specific_refinement</w:t>
            </w:r>
          </w:p>
        </w:tc>
        <w:tc>
          <w:tcPr/>
          <w:p>
            <w:r>
              <w:t xml:space="preserve">AR-2, AR-3, AR-4, AR-6, AR-R1</w:t>
            </w:r>
          </w:p>
        </w:tc>
      </w:tr>
      <w:tr>
        <w:tc>
          <w:tcPr/>
          <w:p>
            <w:r>
              <w:t xml:space="preserve">non_residential_1990_2000</w:t>
            </w:r>
          </w:p>
        </w:tc>
        <w:tc>
          <w:tcPr/>
          <w:p>
            <w:r>
              <w:t xml:space="preserve">60.0</w:t>
            </w:r>
          </w:p>
        </w:tc>
        <w:tc>
          <w:tcPr/>
          <w:p>
            <w:r>
              <w:t xml:space="preserve">21.00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non_residential_v1_placeholder_no_source_backed_window_typology</w:t>
            </w:r>
          </w:p>
        </w:tc>
        <w:tc>
          <w:tcPr/>
          <w:p>
            <w:r>
              <w:t xml:space="preserve">TABULA_common_procedure_standard_shading_values_pending_cohort_specific_refinement</w:t>
            </w:r>
          </w:p>
        </w:tc>
        <w:tc>
          <w:tcPr/>
          <w:p>
            <w:r>
              <w:t xml:space="preserve">AR-2, AR-3, AR-4, AR-6, AR-R1</w:t>
            </w:r>
          </w:p>
        </w:tc>
      </w:tr>
      <w:tr>
        <w:tc>
          <w:tcPr/>
          <w:p>
            <w:r>
              <w:t xml:space="preserve">non_residential_2000_2014</w:t>
            </w:r>
          </w:p>
        </w:tc>
        <w:tc>
          <w:tcPr/>
          <w:p>
            <w:r>
              <w:t xml:space="preserve">55.0</w:t>
            </w:r>
          </w:p>
        </w:tc>
        <w:tc>
          <w:tcPr/>
          <w:p>
            <w:r>
              <w:t xml:space="preserve">21.00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non_residential_v1_placeholder_no_source_backed_window_typology</w:t>
            </w:r>
          </w:p>
        </w:tc>
        <w:tc>
          <w:tcPr/>
          <w:p>
            <w:r>
              <w:t xml:space="preserve">TABULA_common_procedure_standard_shading_values_pending_cohort_specific_refinement</w:t>
            </w:r>
          </w:p>
        </w:tc>
        <w:tc>
          <w:tcPr/>
          <w:p>
            <w:r>
              <w:t xml:space="preserve">AR-2, AR-3, AR-4, AR-6, AR-R1</w:t>
            </w:r>
          </w:p>
        </w:tc>
      </w:tr>
    </w:tbl>
    <w:p>
      <w:pPr>
        <w:spacing w:after="160"/>
      </w:pPr>
      <w:r>
        <w:rPr>
          <w:b/>
          <w:sz w:val="26"/>
        </w:rPr>
        <w:t xml:space="preserve">Table D. Reference-building runtime geometry and legacy solar compatibility fields</w:t>
      </w:r>
    </w:p>
    <w:p>
      <w:pPr>
        <w:spacing w:after="80"/>
      </w:pPr>
      <w:r>
        <w:t xml:space="preserve">These values describe one reference building per archetype on the current teacher-scale reference body. They are not Vienna-wide sums. The reference gross floor area is taken from the building-calibration SSOT. The solar multipliers and glazing-g values are still legacy compatibility fields in the runtime path and are not yet fully cohort-specific literature-backed SSOT.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shd w:fill="D9E2F3" w:val="clear"/>
          </w:tcPr>
          <w:p>
            <w:r>
              <w:rPr>
                <w:b/>
              </w:rPr>
              <w:t xml:space="preserve">Archetype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Ref. GFA [m2]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Ref. volume [m3]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A_floor [m2]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A_wall [m2]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A_window_total [m2]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A_roof [m2]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Room height [m]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cp_air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g_glazing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g_glazing_shaded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Solar multipliers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Sources</w:t>
            </w:r>
          </w:p>
        </w:tc>
      </w:tr>
      <w:tr>
        <w:tc>
          <w:tcPr/>
          <w:p>
            <w:r>
              <w:t xml:space="preserve">residential_pre1975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3,000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820</w:t>
            </w:r>
          </w:p>
        </w:tc>
        <w:tc>
          <w:tcPr/>
          <w:p>
            <w:r>
              <w:t xml:space="preserve">180</w:t>
            </w:r>
          </w:p>
        </w:tc>
        <w:tc>
          <w:tcPr/>
          <w:p>
            <w:r>
              <w:t xml:space="preserve">370</w:t>
            </w:r>
          </w:p>
        </w:tc>
        <w:tc>
          <w:tcPr/>
          <w:p>
            <w:r>
              <w:t xml:space="preserve">3.00</w:t>
            </w:r>
          </w:p>
        </w:tc>
        <w:tc>
          <w:tcPr/>
          <w:p>
            <w:r>
              <w:t xml:space="preserve">0.34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south=1.00; east=0.20; west=0.20; north=0.00</w:t>
            </w:r>
          </w:p>
        </w:tc>
        <w:tc>
          <w:tcPr/>
          <w:p>
            <w:r>
              <w:t xml:space="preserve">RT-1, CAL-3, LEG-1</w:t>
            </w:r>
          </w:p>
        </w:tc>
      </w:tr>
      <w:tr>
        <w:tc>
          <w:tcPr/>
          <w:p>
            <w:r>
              <w:t xml:space="preserve">residential_1975_1990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3,000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820</w:t>
            </w:r>
          </w:p>
        </w:tc>
        <w:tc>
          <w:tcPr/>
          <w:p>
            <w:r>
              <w:t xml:space="preserve">180</w:t>
            </w:r>
          </w:p>
        </w:tc>
        <w:tc>
          <w:tcPr/>
          <w:p>
            <w:r>
              <w:t xml:space="preserve">370</w:t>
            </w:r>
          </w:p>
        </w:tc>
        <w:tc>
          <w:tcPr/>
          <w:p>
            <w:r>
              <w:t xml:space="preserve">3.00</w:t>
            </w:r>
          </w:p>
        </w:tc>
        <w:tc>
          <w:tcPr/>
          <w:p>
            <w:r>
              <w:t xml:space="preserve">0.34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south=1.00; east=0.20; west=0.20; north=0.00</w:t>
            </w:r>
          </w:p>
        </w:tc>
        <w:tc>
          <w:tcPr/>
          <w:p>
            <w:r>
              <w:t xml:space="preserve">RT-1, CAL-3, LEG-1</w:t>
            </w:r>
          </w:p>
        </w:tc>
      </w:tr>
      <w:tr>
        <w:tc>
          <w:tcPr/>
          <w:p>
            <w:r>
              <w:t xml:space="preserve">residential_1990_2000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3,000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820</w:t>
            </w:r>
          </w:p>
        </w:tc>
        <w:tc>
          <w:tcPr/>
          <w:p>
            <w:r>
              <w:t xml:space="preserve">180</w:t>
            </w:r>
          </w:p>
        </w:tc>
        <w:tc>
          <w:tcPr/>
          <w:p>
            <w:r>
              <w:t xml:space="preserve">370</w:t>
            </w:r>
          </w:p>
        </w:tc>
        <w:tc>
          <w:tcPr/>
          <w:p>
            <w:r>
              <w:t xml:space="preserve">3.00</w:t>
            </w:r>
          </w:p>
        </w:tc>
        <w:tc>
          <w:tcPr/>
          <w:p>
            <w:r>
              <w:t xml:space="preserve">0.34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south=1.00; east=0.20; west=0.20; north=0.00</w:t>
            </w:r>
          </w:p>
        </w:tc>
        <w:tc>
          <w:tcPr/>
          <w:p>
            <w:r>
              <w:t xml:space="preserve">RT-1, CAL-3, LEG-1</w:t>
            </w:r>
          </w:p>
        </w:tc>
      </w:tr>
      <w:tr>
        <w:tc>
          <w:tcPr/>
          <w:p>
            <w:r>
              <w:t xml:space="preserve">residential_2000_2014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3,000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820</w:t>
            </w:r>
          </w:p>
        </w:tc>
        <w:tc>
          <w:tcPr/>
          <w:p>
            <w:r>
              <w:t xml:space="preserve">180</w:t>
            </w:r>
          </w:p>
        </w:tc>
        <w:tc>
          <w:tcPr/>
          <w:p>
            <w:r>
              <w:t xml:space="preserve">370</w:t>
            </w:r>
          </w:p>
        </w:tc>
        <w:tc>
          <w:tcPr/>
          <w:p>
            <w:r>
              <w:t xml:space="preserve">3.00</w:t>
            </w:r>
          </w:p>
        </w:tc>
        <w:tc>
          <w:tcPr/>
          <w:p>
            <w:r>
              <w:t xml:space="preserve">0.34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south=1.00; east=0.20; west=0.20; north=0.00</w:t>
            </w:r>
          </w:p>
        </w:tc>
        <w:tc>
          <w:tcPr/>
          <w:p>
            <w:r>
              <w:t xml:space="preserve">RT-1, CAL-3, LEG-1</w:t>
            </w:r>
          </w:p>
        </w:tc>
      </w:tr>
      <w:tr>
        <w:tc>
          <w:tcPr/>
          <w:p>
            <w:r>
              <w:t xml:space="preserve">non_residential_pre1975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3,000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>120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>3.00</w:t>
            </w:r>
          </w:p>
        </w:tc>
        <w:tc>
          <w:tcPr/>
          <w:p>
            <w:r>
              <w:t xml:space="preserve">0.34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south=1.00; east=0.20; west=0.20; north=0.00</w:t>
            </w:r>
          </w:p>
        </w:tc>
        <w:tc>
          <w:tcPr/>
          <w:p>
            <w:r>
              <w:t xml:space="preserve">RT-1, CAL-3, LEG-1</w:t>
            </w:r>
          </w:p>
        </w:tc>
      </w:tr>
      <w:tr>
        <w:tc>
          <w:tcPr/>
          <w:p>
            <w:r>
              <w:t xml:space="preserve">non_residential_1975_1990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3,000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>120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>3.00</w:t>
            </w:r>
          </w:p>
        </w:tc>
        <w:tc>
          <w:tcPr/>
          <w:p>
            <w:r>
              <w:t xml:space="preserve">0.34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south=1.00; east=0.20; west=0.20; north=0.00</w:t>
            </w:r>
          </w:p>
        </w:tc>
        <w:tc>
          <w:tcPr/>
          <w:p>
            <w:r>
              <w:t xml:space="preserve">RT-1, CAL-3, LEG-1</w:t>
            </w:r>
          </w:p>
        </w:tc>
      </w:tr>
      <w:tr>
        <w:tc>
          <w:tcPr/>
          <w:p>
            <w:r>
              <w:t xml:space="preserve">non_residential_1990_2000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3,000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>120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>3.00</w:t>
            </w:r>
          </w:p>
        </w:tc>
        <w:tc>
          <w:tcPr/>
          <w:p>
            <w:r>
              <w:t xml:space="preserve">0.34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south=1.00; east=0.20; west=0.20; north=0.00</w:t>
            </w:r>
          </w:p>
        </w:tc>
        <w:tc>
          <w:tcPr/>
          <w:p>
            <w:r>
              <w:t xml:space="preserve">RT-1, CAL-3, LEG-1</w:t>
            </w:r>
          </w:p>
        </w:tc>
      </w:tr>
      <w:tr>
        <w:tc>
          <w:tcPr/>
          <w:p>
            <w:r>
              <w:t xml:space="preserve">non_residential_2000_2014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3,000</w:t>
            </w:r>
          </w:p>
        </w:tc>
        <w:tc>
          <w:tcPr/>
          <w:p>
            <w:r>
              <w:t xml:space="preserve">1,000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>120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>3.00</w:t>
            </w:r>
          </w:p>
        </w:tc>
        <w:tc>
          <w:tcPr/>
          <w:p>
            <w:r>
              <w:t xml:space="preserve">0.34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south=1.00; east=0.20; west=0.20; north=0.00</w:t>
            </w:r>
          </w:p>
        </w:tc>
        <w:tc>
          <w:tcPr/>
          <w:p>
            <w:r>
              <w:t xml:space="preserve">RT-1, CAL-3, LEG-1</w:t>
            </w:r>
          </w:p>
        </w:tc>
      </w:tr>
    </w:tbl>
    <w:p>
      <w:pPr>
        <w:spacing w:after="160"/>
      </w:pPr>
      <w:r>
        <w:rPr>
          <w:b/>
          <w:sz w:val="26"/>
        </w:rPr>
        <w:t xml:space="preserve">Table E. Calibrated reduced-order runtime parameters for the reference building</w:t>
      </w:r>
    </w:p>
    <w:p>
      <w:pPr>
        <w:spacing w:after="80"/>
      </w:pPr>
      <w:r>
        <w:t xml:space="preserve">These are the EnergyPlus-teacher-derived reduced-order parameters that the current calibrated_v1 runtime path actually uses for thermal dynamics. Both the normalized per-square-meter values and the resulting parameters for the reference building are shown.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shd w:fill="D9E2F3" w:val="clear"/>
          </w:tcPr>
          <w:p>
            <w:r>
              <w:rPr>
                <w:b/>
              </w:rPr>
              <w:t xml:space="preserve">Archetype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H_total [W/m2K]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H_trans [W/m2K]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C_eff [Wh/m2K]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tau [h]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H_total ref [W/K]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H_trans ref [W/K]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C_eff ref [Wh/K]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Air-loss scale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Sources</w:t>
            </w:r>
          </w:p>
        </w:tc>
      </w:tr>
      <w:tr>
        <w:tc>
          <w:tcPr/>
          <w:p>
            <w:r>
              <w:t xml:space="preserve">residential_pre1975</w:t>
            </w:r>
          </w:p>
        </w:tc>
        <w:tc>
          <w:tcPr/>
          <w:p>
            <w:r>
              <w:t xml:space="preserve">1.264</w:t>
            </w:r>
          </w:p>
        </w:tc>
        <w:tc>
          <w:tcPr/>
          <w:p>
            <w:r>
              <w:t xml:space="preserve">1.264</w:t>
            </w:r>
          </w:p>
        </w:tc>
        <w:tc>
          <w:tcPr/>
          <w:p>
            <w:r>
              <w:t xml:space="preserve">25.020</w:t>
            </w:r>
          </w:p>
        </w:tc>
        <w:tc>
          <w:tcPr/>
          <w:p>
            <w:r>
              <w:t xml:space="preserve">19.79</w:t>
            </w:r>
          </w:p>
        </w:tc>
        <w:tc>
          <w:tcPr/>
          <w:p>
            <w:r>
              <w:t xml:space="preserve">1,264.4</w:t>
            </w:r>
          </w:p>
        </w:tc>
        <w:tc>
          <w:tcPr/>
          <w:p>
            <w:r>
              <w:t xml:space="preserve">1,264.4</w:t>
            </w:r>
          </w:p>
        </w:tc>
        <w:tc>
          <w:tcPr/>
          <w:p>
            <w:r>
              <w:t xml:space="preserve">25,019.7</w:t>
            </w:r>
          </w:p>
        </w:tc>
        <w:tc>
          <w:tcPr/>
          <w:p>
            <w:r>
              <w:t xml:space="preserve">0.000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residential_1975_1990</w:t>
            </w:r>
          </w:p>
        </w:tc>
        <w:tc>
          <w:tcPr/>
          <w:p>
            <w:r>
              <w:t xml:space="preserve">1.045</w:t>
            </w:r>
          </w:p>
        </w:tc>
        <w:tc>
          <w:tcPr/>
          <w:p>
            <w:r>
              <w:t xml:space="preserve">1.038</w:t>
            </w:r>
          </w:p>
        </w:tc>
        <w:tc>
          <w:tcPr/>
          <w:p>
            <w:r>
              <w:t xml:space="preserve">22.253</w:t>
            </w:r>
          </w:p>
        </w:tc>
        <w:tc>
          <w:tcPr/>
          <w:p>
            <w:r>
              <w:t xml:space="preserve">21.30</w:t>
            </w:r>
          </w:p>
        </w:tc>
        <w:tc>
          <w:tcPr/>
          <w:p>
            <w:r>
              <w:t xml:space="preserve">1,044.8</w:t>
            </w:r>
          </w:p>
        </w:tc>
        <w:tc>
          <w:tcPr/>
          <w:p>
            <w:r>
              <w:t xml:space="preserve">1,038.1</w:t>
            </w:r>
          </w:p>
        </w:tc>
        <w:tc>
          <w:tcPr/>
          <w:p>
            <w:r>
              <w:t xml:space="preserve">22,253.4</w:t>
            </w:r>
          </w:p>
        </w:tc>
        <w:tc>
          <w:tcPr/>
          <w:p>
            <w:r>
              <w:t xml:space="preserve">0.014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residential_1990_2000</w:t>
            </w:r>
          </w:p>
        </w:tc>
        <w:tc>
          <w:tcPr/>
          <w:p>
            <w:r>
              <w:t xml:space="preserve">0.791</w:t>
            </w:r>
          </w:p>
        </w:tc>
        <w:tc>
          <w:tcPr/>
          <w:p>
            <w:r>
              <w:t xml:space="preserve">0.734</w:t>
            </w:r>
          </w:p>
        </w:tc>
        <w:tc>
          <w:tcPr/>
          <w:p>
            <w:r>
              <w:t xml:space="preserve">20.432</w:t>
            </w:r>
          </w:p>
        </w:tc>
        <w:tc>
          <w:tcPr/>
          <w:p>
            <w:r>
              <w:t xml:space="preserve">25.83</w:t>
            </w:r>
          </w:p>
        </w:tc>
        <w:tc>
          <w:tcPr/>
          <w:p>
            <w:r>
              <w:t xml:space="preserve">791.2</w:t>
            </w:r>
          </w:p>
        </w:tc>
        <w:tc>
          <w:tcPr/>
          <w:p>
            <w:r>
              <w:t xml:space="preserve">734.1</w:t>
            </w:r>
          </w:p>
        </w:tc>
        <w:tc>
          <w:tcPr/>
          <w:p>
            <w:r>
              <w:t xml:space="preserve">20,432.0</w:t>
            </w:r>
          </w:p>
        </w:tc>
        <w:tc>
          <w:tcPr/>
          <w:p>
            <w:r>
              <w:t xml:space="preserve">0.115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residential_2000_2014</w:t>
            </w:r>
          </w:p>
        </w:tc>
        <w:tc>
          <w:tcPr/>
          <w:p>
            <w:r>
              <w:t xml:space="preserve">0.478</w:t>
            </w:r>
          </w:p>
        </w:tc>
        <w:tc>
          <w:tcPr/>
          <w:p>
            <w:r>
              <w:t xml:space="preserve">0.342</w:t>
            </w:r>
          </w:p>
        </w:tc>
        <w:tc>
          <w:tcPr/>
          <w:p>
            <w:r>
              <w:t xml:space="preserve">21.196</w:t>
            </w:r>
          </w:p>
        </w:tc>
        <w:tc>
          <w:tcPr/>
          <w:p>
            <w:r>
              <w:t xml:space="preserve">44.31</w:t>
            </w:r>
          </w:p>
        </w:tc>
        <w:tc>
          <w:tcPr/>
          <w:p>
            <w:r>
              <w:t xml:space="preserve">478.4</w:t>
            </w:r>
          </w:p>
        </w:tc>
        <w:tc>
          <w:tcPr/>
          <w:p>
            <w:r>
              <w:t xml:space="preserve">341.7</w:t>
            </w:r>
          </w:p>
        </w:tc>
        <w:tc>
          <w:tcPr/>
          <w:p>
            <w:r>
              <w:t xml:space="preserve">21,195.8</w:t>
            </w:r>
          </w:p>
        </w:tc>
        <w:tc>
          <w:tcPr/>
          <w:p>
            <w:r>
              <w:t xml:space="preserve">0.276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non_residential_pre1975</w:t>
            </w:r>
          </w:p>
        </w:tc>
        <w:tc>
          <w:tcPr/>
          <w:p>
            <w:r>
              <w:t xml:space="preserve">0.900</w:t>
            </w:r>
          </w:p>
        </w:tc>
        <w:tc>
          <w:tcPr/>
          <w:p>
            <w:r>
              <w:t xml:space="preserve">0.900</w:t>
            </w:r>
          </w:p>
        </w:tc>
        <w:tc>
          <w:tcPr/>
          <w:p>
            <w:r>
              <w:t xml:space="preserve">25.705</w:t>
            </w:r>
          </w:p>
        </w:tc>
        <w:tc>
          <w:tcPr/>
          <w:p>
            <w:r>
              <w:t xml:space="preserve">28.55</w:t>
            </w:r>
          </w:p>
        </w:tc>
        <w:tc>
          <w:tcPr/>
          <w:p>
            <w:r>
              <w:t xml:space="preserve">900.4</w:t>
            </w:r>
          </w:p>
        </w:tc>
        <w:tc>
          <w:tcPr/>
          <w:p>
            <w:r>
              <w:t xml:space="preserve">900.4</w:t>
            </w:r>
          </w:p>
        </w:tc>
        <w:tc>
          <w:tcPr/>
          <w:p>
            <w:r>
              <w:t xml:space="preserve">25,704.5</w:t>
            </w:r>
          </w:p>
        </w:tc>
        <w:tc>
          <w:tcPr/>
          <w:p>
            <w:r>
              <w:t xml:space="preserve">0.000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non_residential_1975_1990</w:t>
            </w:r>
          </w:p>
        </w:tc>
        <w:tc>
          <w:tcPr/>
          <w:p>
            <w:r>
              <w:t xml:space="preserve">0.719</w:t>
            </w:r>
          </w:p>
        </w:tc>
        <w:tc>
          <w:tcPr/>
          <w:p>
            <w:r>
              <w:t xml:space="preserve">0.673</w:t>
            </w:r>
          </w:p>
        </w:tc>
        <w:tc>
          <w:tcPr/>
          <w:p>
            <w:r>
              <w:t xml:space="preserve">22.112</w:t>
            </w:r>
          </w:p>
        </w:tc>
        <w:tc>
          <w:tcPr/>
          <w:p>
            <w:r>
              <w:t xml:space="preserve">30.77</w:t>
            </w:r>
          </w:p>
        </w:tc>
        <w:tc>
          <w:tcPr/>
          <w:p>
            <w:r>
              <w:t xml:space="preserve">718.7</w:t>
            </w:r>
          </w:p>
        </w:tc>
        <w:tc>
          <w:tcPr/>
          <w:p>
            <w:r>
              <w:t xml:space="preserve">673.5</w:t>
            </w:r>
          </w:p>
        </w:tc>
        <w:tc>
          <w:tcPr/>
          <w:p>
            <w:r>
              <w:t xml:space="preserve">22,112.0</w:t>
            </w:r>
          </w:p>
        </w:tc>
        <w:tc>
          <w:tcPr/>
          <w:p>
            <w:r>
              <w:t xml:space="preserve">0.091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non_residential_1990_2000</w:t>
            </w:r>
          </w:p>
        </w:tc>
        <w:tc>
          <w:tcPr/>
          <w:p>
            <w:r>
              <w:t xml:space="preserve">0.544</w:t>
            </w:r>
          </w:p>
        </w:tc>
        <w:tc>
          <w:tcPr/>
          <w:p>
            <w:r>
              <w:t xml:space="preserve">0.480</w:t>
            </w:r>
          </w:p>
        </w:tc>
        <w:tc>
          <w:tcPr/>
          <w:p>
            <w:r>
              <w:t xml:space="preserve">19.504</w:t>
            </w:r>
          </w:p>
        </w:tc>
        <w:tc>
          <w:tcPr/>
          <w:p>
            <w:r>
              <w:t xml:space="preserve">35.84</w:t>
            </w:r>
          </w:p>
        </w:tc>
        <w:tc>
          <w:tcPr/>
          <w:p>
            <w:r>
              <w:t xml:space="preserve">544.3</w:t>
            </w:r>
          </w:p>
        </w:tc>
        <w:tc>
          <w:tcPr/>
          <w:p>
            <w:r>
              <w:t xml:space="preserve">479.5</w:t>
            </w:r>
          </w:p>
        </w:tc>
        <w:tc>
          <w:tcPr/>
          <w:p>
            <w:r>
              <w:t xml:space="preserve">19,504.3</w:t>
            </w:r>
          </w:p>
        </w:tc>
        <w:tc>
          <w:tcPr/>
          <w:p>
            <w:r>
              <w:t xml:space="preserve">0.131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non_residential_2000_2014</w:t>
            </w:r>
          </w:p>
        </w:tc>
        <w:tc>
          <w:tcPr/>
          <w:p>
            <w:r>
              <w:t xml:space="preserve">0.322</w:t>
            </w:r>
          </w:p>
        </w:tc>
        <w:tc>
          <w:tcPr/>
          <w:p>
            <w:r>
              <w:t xml:space="preserve">0.208</w:t>
            </w:r>
          </w:p>
        </w:tc>
        <w:tc>
          <w:tcPr/>
          <w:p>
            <w:r>
              <w:t xml:space="preserve">19.192</w:t>
            </w:r>
          </w:p>
        </w:tc>
        <w:tc>
          <w:tcPr/>
          <w:p>
            <w:r>
              <w:t xml:space="preserve">59.64</w:t>
            </w:r>
          </w:p>
        </w:tc>
        <w:tc>
          <w:tcPr/>
          <w:p>
            <w:r>
              <w:t xml:space="preserve">321.8</w:t>
            </w:r>
          </w:p>
        </w:tc>
        <w:tc>
          <w:tcPr/>
          <w:p>
            <w:r>
              <w:t xml:space="preserve">208.2</w:t>
            </w:r>
          </w:p>
        </w:tc>
        <w:tc>
          <w:tcPr/>
          <w:p>
            <w:r>
              <w:t xml:space="preserve">19,191.7</w:t>
            </w:r>
          </w:p>
        </w:tc>
        <w:tc>
          <w:tcPr/>
          <w:p>
            <w:r>
              <w:t xml:space="preserve">0.229</w:t>
            </w:r>
          </w:p>
        </w:tc>
        <w:tc>
          <w:tcPr/>
          <w:p>
            <w:r>
              <w:t xml:space="preserve">CAL-1, CAL-2, CAL-3, CAL-4</w:t>
            </w:r>
          </w:p>
        </w:tc>
      </w:tr>
    </w:tbl>
    <w:p>
      <w:pPr>
        <w:spacing w:after="160"/>
      </w:pPr>
      <w:r>
        <w:rPr>
          <w:b/>
          <w:sz w:val="26"/>
        </w:rPr>
        <w:t xml:space="preserve">Table F. Calibrated event-response parameters</w:t>
      </w:r>
    </w:p>
    <w:p>
      <w:pPr>
        <w:spacing w:after="80"/>
      </w:pPr>
      <w:r>
        <w:t xml:space="preserve">These are the cohort-specific thermflex sidecar parameters fitted from the EnergyPlus teacher experiments. They constrain preheat, cutback, and recovery behavior when event-response bounds are active.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shd w:fill="D9E2F3" w:val="clear"/>
          </w:tcPr>
          <w:p>
            <w:r>
              <w:rPr>
                <w:b/>
              </w:rPr>
              <w:t xml:space="preserve">Cohort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Preheat energy [kWh]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Preheat peak [kW]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Cutback shed [kWh]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Cutback peak [kW]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Recovery rebound [kWh]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Recovery peak [kW]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Recovery time [h]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Sources</w:t>
            </w:r>
          </w:p>
        </w:tc>
      </w:tr>
      <w:tr>
        <w:tc>
          <w:tcPr/>
          <w:p>
            <w:r>
              <w:t xml:space="preserve">residential_pre1975</w:t>
            </w:r>
          </w:p>
        </w:tc>
        <w:tc>
          <w:tcPr/>
          <w:p>
            <w:r>
              <w:t xml:space="preserve">79.01</w:t>
            </w:r>
          </w:p>
        </w:tc>
        <w:tc>
          <w:tcPr/>
          <w:p>
            <w:r>
              <w:t xml:space="preserve">12.31</w:t>
            </w:r>
          </w:p>
        </w:tc>
        <w:tc>
          <w:tcPr/>
          <w:p>
            <w:r>
              <w:t xml:space="preserve">76.11</w:t>
            </w:r>
          </w:p>
        </w:tc>
        <w:tc>
          <w:tcPr/>
          <w:p>
            <w:r>
              <w:t xml:space="preserve">11.54</w:t>
            </w:r>
          </w:p>
        </w:tc>
        <w:tc>
          <w:tcPr/>
          <w:p>
            <w:r>
              <w:t xml:space="preserve">50.24</w:t>
            </w:r>
          </w:p>
        </w:tc>
        <w:tc>
          <w:tcPr/>
          <w:p>
            <w:r>
              <w:t xml:space="preserve">7.93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residential_1975_1990</w:t>
            </w:r>
          </w:p>
        </w:tc>
        <w:tc>
          <w:tcPr/>
          <w:p>
            <w:r>
              <w:t xml:space="preserve">71.96</w:t>
            </w:r>
          </w:p>
        </w:tc>
        <w:tc>
          <w:tcPr/>
          <w:p>
            <w:r>
              <w:t xml:space="preserve">11.71</w:t>
            </w:r>
          </w:p>
        </w:tc>
        <w:tc>
          <w:tcPr/>
          <w:p>
            <w:r>
              <w:t xml:space="preserve">69.69</w:t>
            </w:r>
          </w:p>
        </w:tc>
        <w:tc>
          <w:tcPr/>
          <w:p>
            <w:r>
              <w:t xml:space="preserve">10.82</w:t>
            </w:r>
          </w:p>
        </w:tc>
        <w:tc>
          <w:tcPr/>
          <w:p>
            <w:r>
              <w:t xml:space="preserve">50.75</w:t>
            </w:r>
          </w:p>
        </w:tc>
        <w:tc>
          <w:tcPr/>
          <w:p>
            <w:r>
              <w:t xml:space="preserve">7.96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residential_1990_2000</w:t>
            </w:r>
          </w:p>
        </w:tc>
        <w:tc>
          <w:tcPr/>
          <w:p>
            <w:r>
              <w:t xml:space="preserve">64.76</w:t>
            </w:r>
          </w:p>
        </w:tc>
        <w:tc>
          <w:tcPr/>
          <w:p>
            <w:r>
              <w:t xml:space="preserve">10.86</w:t>
            </w:r>
          </w:p>
        </w:tc>
        <w:tc>
          <w:tcPr/>
          <w:p>
            <w:r>
              <w:t xml:space="preserve">60.40</w:t>
            </w:r>
          </w:p>
        </w:tc>
        <w:tc>
          <w:tcPr/>
          <w:p>
            <w:r>
              <w:t xml:space="preserve">9.83</w:t>
            </w:r>
          </w:p>
        </w:tc>
        <w:tc>
          <w:tcPr/>
          <w:p>
            <w:r>
              <w:t xml:space="preserve">49.29</w:t>
            </w:r>
          </w:p>
        </w:tc>
        <w:tc>
          <w:tcPr/>
          <w:p>
            <w:r>
              <w:t xml:space="preserve">7.65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residential_2000_2014</w:t>
            </w:r>
          </w:p>
        </w:tc>
        <w:tc>
          <w:tcPr/>
          <w:p>
            <w:r>
              <w:t xml:space="preserve">51.12</w:t>
            </w:r>
          </w:p>
        </w:tc>
        <w:tc>
          <w:tcPr/>
          <w:p>
            <w:r>
              <w:t xml:space="preserve">9.07</w:t>
            </w:r>
          </w:p>
        </w:tc>
        <w:tc>
          <w:tcPr/>
          <w:p>
            <w:r>
              <w:t xml:space="preserve">44.70</w:t>
            </w:r>
          </w:p>
        </w:tc>
        <w:tc>
          <w:tcPr/>
          <w:p>
            <w:r>
              <w:t xml:space="preserve">7.08</w:t>
            </w:r>
          </w:p>
        </w:tc>
        <w:tc>
          <w:tcPr/>
          <w:p>
            <w:r>
              <w:t xml:space="preserve">40.60</w:t>
            </w:r>
          </w:p>
        </w:tc>
        <w:tc>
          <w:tcPr/>
          <w:p>
            <w:r>
              <w:t xml:space="preserve">5.89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non_residential_pre1975</w:t>
            </w:r>
          </w:p>
        </w:tc>
        <w:tc>
          <w:tcPr/>
          <w:p>
            <w:r>
              <w:t xml:space="preserve">67.66</w:t>
            </w:r>
          </w:p>
        </w:tc>
        <w:tc>
          <w:tcPr/>
          <w:p>
            <w:r>
              <w:t xml:space="preserve">11.19</w:t>
            </w:r>
          </w:p>
        </w:tc>
        <w:tc>
          <w:tcPr/>
          <w:p>
            <w:r>
              <w:t xml:space="preserve">64.42</w:t>
            </w:r>
          </w:p>
        </w:tc>
        <w:tc>
          <w:tcPr/>
          <w:p>
            <w:r>
              <w:t xml:space="preserve">10.23</w:t>
            </w:r>
          </w:p>
        </w:tc>
        <w:tc>
          <w:tcPr/>
          <w:p>
            <w:r>
              <w:t xml:space="preserve">49.20</w:t>
            </w:r>
          </w:p>
        </w:tc>
        <w:tc>
          <w:tcPr/>
          <w:p>
            <w:r>
              <w:t xml:space="preserve">7.78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non_residential_1975_1990</w:t>
            </w:r>
          </w:p>
        </w:tc>
        <w:tc>
          <w:tcPr/>
          <w:p>
            <w:r>
              <w:t xml:space="preserve">61.38</w:t>
            </w:r>
          </w:p>
        </w:tc>
        <w:tc>
          <w:tcPr/>
          <w:p>
            <w:r>
              <w:t xml:space="preserve">10.53</w:t>
            </w:r>
          </w:p>
        </w:tc>
        <w:tc>
          <w:tcPr/>
          <w:p>
            <w:r>
              <w:t xml:space="preserve">58.42</w:t>
            </w:r>
          </w:p>
        </w:tc>
        <w:tc>
          <w:tcPr/>
          <w:p>
            <w:r>
              <w:t xml:space="preserve">9.39</w:t>
            </w:r>
          </w:p>
        </w:tc>
        <w:tc>
          <w:tcPr/>
          <w:p>
            <w:r>
              <w:t xml:space="preserve">48.49</w:t>
            </w:r>
          </w:p>
        </w:tc>
        <w:tc>
          <w:tcPr/>
          <w:p>
            <w:r>
              <w:t xml:space="preserve">7.63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non_residential_1990_2000</w:t>
            </w:r>
          </w:p>
        </w:tc>
        <w:tc>
          <w:tcPr/>
          <w:p>
            <w:r>
              <w:t xml:space="preserve">55.24</w:t>
            </w:r>
          </w:p>
        </w:tc>
        <w:tc>
          <w:tcPr/>
          <w:p>
            <w:r>
              <w:t xml:space="preserve">9.67</w:t>
            </w:r>
          </w:p>
        </w:tc>
        <w:tc>
          <w:tcPr/>
          <w:p>
            <w:r>
              <w:t xml:space="preserve">50.88</w:t>
            </w:r>
          </w:p>
        </w:tc>
        <w:tc>
          <w:tcPr/>
          <w:p>
            <w:r>
              <w:t xml:space="preserve">8.21</w:t>
            </w:r>
          </w:p>
        </w:tc>
        <w:tc>
          <w:tcPr/>
          <w:p>
            <w:r>
              <w:t xml:space="preserve">45.23</w:t>
            </w:r>
          </w:p>
        </w:tc>
        <w:tc>
          <w:tcPr/>
          <w:p>
            <w:r>
              <w:t xml:space="preserve">7.02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CAL-1, CAL-2, CAL-3, CAL-4</w:t>
            </w:r>
          </w:p>
        </w:tc>
      </w:tr>
      <w:tr>
        <w:tc>
          <w:tcPr/>
          <w:p>
            <w:r>
              <w:t xml:space="preserve">non_residential_2000_2014</w:t>
            </w:r>
          </w:p>
        </w:tc>
        <w:tc>
          <w:tcPr/>
          <w:p>
            <w:r>
              <w:t xml:space="preserve">42.99</w:t>
            </w:r>
          </w:p>
        </w:tc>
        <w:tc>
          <w:tcPr/>
          <w:p>
            <w:r>
              <w:t xml:space="preserve">7.48</w:t>
            </w:r>
          </w:p>
        </w:tc>
        <w:tc>
          <w:tcPr/>
          <w:p>
            <w:r>
              <w:t xml:space="preserve">33.75</w:t>
            </w:r>
          </w:p>
        </w:tc>
        <w:tc>
          <w:tcPr/>
          <w:p>
            <w:r>
              <w:t xml:space="preserve">4.05</w:t>
            </w:r>
          </w:p>
        </w:tc>
        <w:tc>
          <w:tcPr/>
          <w:p>
            <w:r>
              <w:t xml:space="preserve">30.73</w:t>
            </w:r>
          </w:p>
        </w:tc>
        <w:tc>
          <w:tcPr/>
          <w:p>
            <w:r>
              <w:t xml:space="preserve">4.50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CAL-1, CAL-2, CAL-3, CAL-4</w:t>
            </w:r>
          </w:p>
        </w:tc>
      </w:tr>
    </w:tbl>
    <w:p>
      <w:pPr>
        <w:spacing w:after="160"/>
      </w:pPr>
      <w:r>
        <w:rPr>
          <w:b/>
          <w:sz w:val="26"/>
        </w:rPr>
        <w:t xml:space="preserve">Table G. Global heating-control parameters</w:t>
      </w:r>
    </w:p>
    <w:p>
      <w:pPr>
        <w:spacing w:after="80"/>
      </w:pPr>
      <w:r>
        <w:t xml:space="preserve">These are global building-operation settings from the Settings layer. They are not archetype-specific and may be overridden by explicit paper-case JSON overrides, but they still belong to the active building model path.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shd w:fill="D9E2F3" w:val="clear"/>
          </w:tcPr>
          <w:p>
            <w:r>
              <w:rPr>
                <w:b/>
              </w:rPr>
              <w:t xml:space="preserve">Parameter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Value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Role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Sources</w:t>
            </w:r>
          </w:p>
        </w:tc>
      </w:tr>
      <w:tr>
        <w:tc>
          <w:tcPr/>
          <w:p>
            <w:r>
              <w:t xml:space="preserve">reference_control_mode</w:t>
            </w:r>
          </w:p>
        </w:tc>
        <w:tc>
          <w:tcPr/>
          <w:p>
            <w:r>
              <w:t xml:space="preserve">constant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control_mode</w:t>
            </w:r>
          </w:p>
        </w:tc>
        <w:tc>
          <w:tcPr/>
          <w:p>
            <w:r>
              <w:t xml:space="preserve">constant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constant_setpoint_c</w:t>
            </w:r>
          </w:p>
        </w:tc>
        <w:tc>
          <w:tcPr/>
          <w:p>
            <w:r>
              <w:t xml:space="preserve">22.00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day_setpoint_c</w:t>
            </w:r>
          </w:p>
        </w:tc>
        <w:tc>
          <w:tcPr/>
          <w:p>
            <w:r>
              <w:t xml:space="preserve">22.00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night_setpoint_c</w:t>
            </w:r>
          </w:p>
        </w:tc>
        <w:tc>
          <w:tcPr/>
          <w:p>
            <w:r>
              <w:t xml:space="preserve">19.00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day_start_hour</w:t>
            </w:r>
          </w:p>
        </w:tc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night_start_hour</w:t>
            </w:r>
          </w:p>
        </w:tc>
        <w:tc>
          <w:tcPr/>
          <w:p>
            <w:r>
              <w:t xml:space="preserve">22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hysteresis_band_k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comfort_band_enabled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comfort_band_k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max_heating_power_mode</w:t>
            </w:r>
          </w:p>
        </w:tc>
        <w:tc>
          <w:tcPr/>
          <w:p>
            <w:r>
              <w:t xml:space="preserve">archetype_design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max_heating_power_w_per_m2</w:t>
            </w:r>
          </w:p>
        </w:tc>
        <w:tc>
          <w:tcPr/>
          <w:p>
            <w:r>
              <w:t xml:space="preserve">60.0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max_heating_power_multiplier</w:t>
            </w:r>
          </w:p>
        </w:tc>
        <w:tc>
          <w:tcPr/>
          <w:p>
            <w:r>
              <w:t xml:space="preserve">1.00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design_indoor_temp_c</w:t>
            </w:r>
          </w:p>
        </w:tc>
        <w:tc>
          <w:tcPr/>
          <w:p>
            <w:r>
              <w:t xml:space="preserve">22.00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design_outdoor_temp_c</w:t>
            </w:r>
          </w:p>
        </w:tc>
        <w:tc>
          <w:tcPr/>
          <w:p>
            <w:r>
              <w:t xml:space="preserve">-12.00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design_ventilation_mode</w:t>
            </w:r>
          </w:p>
        </w:tc>
        <w:tc>
          <w:tcPr/>
          <w:p>
            <w:r>
              <w:t xml:space="preserve">p95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design_internal_gains_w_per_m2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design_solar_gains_w_per_m2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enable_active_cooling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cooling_setpoint_c</w:t>
            </w:r>
          </w:p>
        </w:tc>
        <w:tc>
          <w:tcPr/>
          <w:p>
            <w:r>
              <w:t xml:space="preserve">27.00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  <w:tr>
        <w:tc>
          <w:tcPr/>
          <w:p>
            <w:r>
              <w:t xml:space="preserve">max_cooling_power_w_per_m2</w:t>
            </w:r>
          </w:p>
        </w:tc>
        <w:tc>
          <w:tcPr/>
          <w:p>
            <w:r>
              <w:t xml:space="preserve">40.0</w:t>
            </w:r>
          </w:p>
        </w:tc>
        <w:tc>
          <w:tcPr/>
          <w:p>
            <w:r>
              <w:t xml:space="preserve">global default</w:t>
            </w:r>
          </w:p>
        </w:tc>
        <w:tc>
          <w:tcPr/>
          <w:p>
            <w:r>
              <w:t xml:space="preserve">HC-1</w:t>
            </w:r>
          </w:p>
        </w:tc>
      </w:tr>
    </w:tbl>
    <w:p>
      <w:pPr>
        <w:spacing w:after="160"/>
      </w:pPr>
      <w:r>
        <w:rPr>
          <w:b/>
          <w:sz w:val="26"/>
        </w:rPr>
        <w:t xml:space="preserve">Table H. Global thermflex constraint parameters</w:t>
      </w:r>
    </w:p>
    <w:p>
      <w:pPr>
        <w:spacing w:after="80"/>
      </w:pPr>
      <w:r>
        <w:t xml:space="preserve">These are the global thermflex/bound settings from the Settings layer. Representative-day and paper sensitivity runs override a subset of them.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shd w:fill="D9E2F3" w:val="clear"/>
          </w:tcPr>
          <w:p>
            <w:r>
              <w:rPr>
                <w:b/>
              </w:rPr>
              <w:t xml:space="preserve">Parameter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Value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Role</w:t>
            </w:r>
          </w:p>
        </w:tc>
        <w:tc>
          <w:tcPr>
            <w:shd w:fill="D9E2F3" w:val="clear"/>
          </w:tcPr>
          <w:p>
            <w:r>
              <w:rPr>
                <w:b/>
              </w:rPr>
              <w:t xml:space="preserve">Sources</w:t>
            </w:r>
          </w:p>
        </w:tc>
      </w:tr>
      <w:tr>
        <w:tc>
          <w:tcPr/>
          <w:p>
            <w:r>
              <w:t xml:space="preserve">use_explicit_lower_bounds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constant_lower_bound_c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day_lower_bound_c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night_lower_bound_c</w:t>
            </w:r>
          </w:p>
        </w:tc>
        <w:tc>
          <w:tcPr/>
          <w:p>
            <w:r>
              <w:t xml:space="preserve">n/a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comfort_band_k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reference_deadband_k</w:t>
            </w:r>
          </w:p>
        </w:tc>
        <w:tc>
          <w:tcPr/>
          <w:p>
            <w:r>
              <w:t xml:space="preserve">0.50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constrain_upper_temperature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use_event_response_bounds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enforce_event_peak_bounds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enforce_event_energy_bounds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enforce_recovery_cooldown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max_flex_duration_h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max_flex_events_per_day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activation_penalty_eur_per_member_h</w:t>
            </w:r>
          </w:p>
        </w:tc>
        <w:tc>
          <w:tcPr/>
          <w:p>
            <w:r>
              <w:t xml:space="preserve">0.000100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temperature_violation_penalty_eur_per_degree_h</w:t>
            </w:r>
          </w:p>
        </w:tc>
        <w:tc>
          <w:tcPr/>
          <w:p>
            <w:r>
              <w:t xml:space="preserve">1,000,000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allow_terminal_deviation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  <w:tr>
        <w:tc>
          <w:tcPr/>
          <w:p>
            <w:r>
              <w:t xml:space="preserve">terminal_band_k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scenario-dependent</w:t>
            </w:r>
          </w:p>
        </w:tc>
        <w:tc>
          <w:tcPr/>
          <w:p>
            <w:r>
              <w:t xml:space="preserve">TF-1</w:t>
            </w:r>
          </w:p>
        </w:tc>
      </w:tr>
    </w:tbl>
    <w:p>
      <w:pPr>
        <w:spacing w:after="160"/>
      </w:pPr>
      <w:r>
        <w:rPr>
          <w:b/>
          <w:sz w:val="26"/>
        </w:rPr>
        <w:t xml:space="preserve">Bibliography and Source Notes</w:t>
      </w:r>
    </w:p>
    <w:p>
      <w:pPr>
        <w:spacing w:after="80"/>
      </w:pPr>
      <w:r>
        <w:rPr>
          <w:b/>
        </w:rPr>
        <w:t xml:space="preserve">BS-1: Citiwatt indicators Vienna local snapshot; used via Data/building_stock/Vienna/building_stock.py.</w:t>
      </w:r>
    </w:p>
    <w:p>
      <w:pPr>
        <w:spacing w:after="80"/>
      </w:pPr>
      <w:r>
        <w:t xml:space="preserve">Note: Building-stock scale anchors: total heat, GFA, volume, and period shares.</w:t>
      </w:r>
    </w:p>
    <w:p>
      <w:pPr>
        <w:spacing w:after="80"/>
      </w:pPr>
      <w:r>
        <w:rPr>
          <w:b/>
        </w:rPr>
        <w:t xml:space="preserve">BS-2: Vienna Energy Report 2025 and repo notes in Documentation/Sources/wien_und_dispatch_quellen.md.</w:t>
      </w:r>
    </w:p>
    <w:p>
      <w:pPr>
        <w:spacing w:after="80"/>
      </w:pPr>
      <w:r>
        <w:t xml:space="preserve">Note: Official Vienna electricity anchors and building-sector context used in the stock layer.</w:t>
      </w:r>
    </w:p>
    <w:p>
      <w:pPr>
        <w:spacing w:after="80"/>
      </w:pPr>
      <w:r>
        <w:rPr>
          <w:b/>
        </w:rPr>
        <w:t xml:space="preserve">BS-R1: Repo-derived V1 stock assumptions in Data/building_stock/Vienna/building_stock.py.</w:t>
      </w:r>
    </w:p>
    <w:p>
      <w:pPr>
        <w:spacing w:after="80"/>
      </w:pPr>
      <w:r>
        <w:t xml:space="preserve">Note: Includes the explicit non-residential hot-water exclusion and the current exogenous electricity calibration anchors.</w:t>
      </w:r>
    </w:p>
    <w:p>
      <w:pPr>
        <w:spacing w:after="80"/>
      </w:pPr>
      <w:r>
        <w:rPr>
          <w:b/>
        </w:rPr>
        <w:t xml:space="preserve">AR-1: Austrian TABULA / EPISCOPE country page: https://episcope.eu/building-typology/country/at/</w:t>
      </w:r>
    </w:p>
    <w:p>
      <w:pPr>
        <w:spacing w:after="80"/>
      </w:pPr>
      <w:r>
        <w:t xml:space="preserve">Note: Residential period-specific U-value and typology anchor.</w:t>
      </w:r>
    </w:p>
    <w:p>
      <w:pPr>
        <w:spacing w:after="80"/>
      </w:pPr>
      <w:r>
        <w:rPr>
          <w:b/>
        </w:rPr>
        <w:t xml:space="preserve">AR-2: Austrian TABULA Scientific Report: https://episcope.eu/fileadmin/tabula/public/docs/scientific/AT_TABULA_ScientificReport_AEA.pdf</w:t>
      </w:r>
    </w:p>
    <w:p>
      <w:pPr>
        <w:spacing w:after="80"/>
      </w:pPr>
      <w:r>
        <w:t xml:space="preserve">Note: Residential period ladder, window typologies, and Austrian multi-family context.</w:t>
      </w:r>
    </w:p>
    <w:p>
      <w:pPr>
        <w:spacing w:after="80"/>
      </w:pPr>
      <w:r>
        <w:rPr>
          <w:b/>
        </w:rPr>
        <w:t xml:space="preserve">AR-3: TABULA common calculation procedure: https://episcope.eu/building-typology/tabula-structure/calculation/</w:t>
      </w:r>
    </w:p>
    <w:p>
      <w:pPr>
        <w:spacing w:after="80"/>
      </w:pPr>
      <w:r>
        <w:t xml:space="preserve">Note: Standard shading and usage procedure values; method anchor, not cohort-specific Vienna truth.</w:t>
      </w:r>
    </w:p>
    <w:p>
      <w:pPr>
        <w:spacing w:after="80"/>
      </w:pPr>
      <w:r>
        <w:rPr>
          <w:b/>
        </w:rPr>
        <w:t xml:space="preserve">AR-4: TABULA WebTool FAQ: https://episcope.eu/building-typology/webtool/</w:t>
      </w:r>
    </w:p>
    <w:p>
      <w:pPr>
        <w:spacing w:after="80"/>
      </w:pPr>
      <w:r>
        <w:t xml:space="preserve">Note: Important caution that the 45 Wh/(m2K) procedure value is too coarse for research use.</w:t>
      </w:r>
    </w:p>
    <w:p>
      <w:pPr>
        <w:spacing w:after="80"/>
      </w:pPr>
      <w:r>
        <w:rPr>
          <w:b/>
        </w:rPr>
        <w:t xml:space="preserve">AR-5: TABULA Final Report Appendix Volume: https://episcope.eu/fileadmin/tabula/public/docs/report/TABULA_FinalReport_AppendixVolume.pdf</w:t>
      </w:r>
    </w:p>
    <w:p>
      <w:pPr>
        <w:spacing w:after="80"/>
      </w:pPr>
      <w:r>
        <w:t xml:space="preserve">Note: Residential envelope-area ratios per conditioned floor area.</w:t>
      </w:r>
    </w:p>
    <w:p>
      <w:pPr>
        <w:spacing w:after="80"/>
      </w:pPr>
      <w:r>
        <w:rPr>
          <w:b/>
        </w:rPr>
        <w:t xml:space="preserve">AR-6: OIB-Richtlinie 6 / Kostenoptimalitaet: https://www.oib.or.at/sites/default/files/kostenoptimalitaet_0.pdf</w:t>
      </w:r>
    </w:p>
    <w:p>
      <w:pPr>
        <w:spacing w:after="80"/>
      </w:pPr>
      <w:r>
        <w:t xml:space="preserve">Note: Austrian plausibility anchors for setpoints, g-values, and air-change assumptions.</w:t>
      </w:r>
    </w:p>
    <w:p>
      <w:pPr>
        <w:spacing w:after="80"/>
      </w:pPr>
      <w:r>
        <w:rPr>
          <w:b/>
        </w:rPr>
        <w:t xml:space="preserve">AR-7: TABULA Thematic Report No. 3 / Non-Residential Buildings: https://episcope.eu/building-typology/tabula-structure/non-residential/</w:t>
      </w:r>
    </w:p>
    <w:p>
      <w:pPr>
        <w:spacing w:after="80"/>
      </w:pPr>
      <w:r>
        <w:t xml:space="preserve">Note: Explains why non-residential geometry and exposure assumptions remain less certain than residential ones.</w:t>
      </w:r>
    </w:p>
    <w:p>
      <w:pPr>
        <w:spacing w:after="80"/>
      </w:pPr>
      <w:r>
        <w:rPr>
          <w:b/>
        </w:rPr>
        <w:t xml:space="preserve">AR-R1: Repo-internal V1 assumption in Data/thermal_archetypes/Vienna/thermal_archetypes.py.</w:t>
      </w:r>
    </w:p>
    <w:p>
      <w:pPr>
        <w:spacing w:after="80"/>
      </w:pPr>
      <w:r>
        <w:t xml:space="preserve">Note: Areal heat capacities and some non-residential fields are still pragmatic start values, not direct Vienna observations.</w:t>
      </w:r>
    </w:p>
    <w:p>
      <w:pPr>
        <w:spacing w:after="80"/>
      </w:pPr>
      <w:r>
        <w:rPr>
          <w:b/>
        </w:rPr>
        <w:t xml:space="preserve">RT-1: Runtime derivation in Technical_model/technologies/buildings/runtime_building_params.py.</w:t>
      </w:r>
    </w:p>
    <w:p>
      <w:pPr>
        <w:spacing w:after="80"/>
      </w:pPr>
      <w:r>
        <w:t xml:space="preserve">Note: Cohort-scale areas, room height, and effective runtime fields are derived from the stock + archetype SSOT.</w:t>
      </w:r>
    </w:p>
    <w:p>
      <w:pPr>
        <w:spacing w:after="80"/>
      </w:pPr>
      <w:r>
        <w:rPr>
          <w:b/>
        </w:rPr>
        <w:t xml:space="preserve">LEG-1: Legacy compatibility fields in Data/technology_data/building.py and runtime_building_params.py.</w:t>
      </w:r>
    </w:p>
    <w:p>
      <w:pPr>
        <w:spacing w:after="80"/>
      </w:pPr>
      <w:r>
        <w:t xml:space="preserve">Note: solar_multipliers, g_glazing, and g_glazing_shaded remain active compatibility placeholders and are not yet fully recalibrated Vienna SSOT.</w:t>
      </w:r>
    </w:p>
    <w:p>
      <w:pPr>
        <w:spacing w:after="80"/>
      </w:pPr>
      <w:r>
        <w:rPr>
          <w:b/>
        </w:rPr>
        <w:t xml:space="preserve">CAL-1: Open-Meteo Historical Weather API: https://open-meteo.com/en/docs/historical-weather-api</w:t>
      </w:r>
    </w:p>
    <w:p>
      <w:pPr>
        <w:spacing w:after="80"/>
      </w:pPr>
      <w:r>
        <w:t xml:space="preserve">Note: Weather driver for the pseudo-EPW and calibration path.</w:t>
      </w:r>
    </w:p>
    <w:p>
      <w:pPr>
        <w:spacing w:after="80"/>
      </w:pPr>
      <w:r>
        <w:rPr>
          <w:b/>
        </w:rPr>
        <w:t xml:space="preserve">CAL-2: Climate.OneBuilding Vienna EPW template: https://climate.onebuilding.org/WMO_Region_6_Europe/AUT_Austria/index.html</w:t>
      </w:r>
    </w:p>
    <w:p>
      <w:pPr>
        <w:spacing w:after="80"/>
      </w:pPr>
      <w:r>
        <w:t xml:space="preserve">Note: Header and format anchor for pseudo-EPW generation.</w:t>
      </w:r>
    </w:p>
    <w:p>
      <w:pPr>
        <w:spacing w:after="80"/>
      </w:pPr>
      <w:r>
        <w:rPr>
          <w:b/>
        </w:rPr>
        <w:t xml:space="preserve">CAL-3: EnergyPlus 26.1.0 and repo calibration teacher path.</w:t>
      </w:r>
    </w:p>
    <w:p>
      <w:pPr>
        <w:spacing w:after="80"/>
      </w:pPr>
      <w:r>
        <w:t xml:space="preserve">Note: Teacher model used to derive reduced-order and event-response fits.</w:t>
      </w:r>
    </w:p>
    <w:p>
      <w:pPr>
        <w:spacing w:after="80"/>
      </w:pPr>
      <w:r>
        <w:rPr>
          <w:b/>
        </w:rPr>
        <w:t xml:space="preserve">CAL-4: Repo-generated calibration exports: Data/thermal_archetypes/Vienna/calibrated_v1.py plus reduced_order_fit_summary.csv and event_response_fit_summary.csv.</w:t>
      </w:r>
    </w:p>
    <w:p>
      <w:pPr>
        <w:spacing w:after="80"/>
      </w:pPr>
      <w:r>
        <w:t xml:space="preserve">Note: Direct source of the fitted reduced-order and event-response sidecar parameters.</w:t>
      </w:r>
    </w:p>
    <w:p>
      <w:pPr>
        <w:spacing w:after="80"/>
      </w:pPr>
      <w:r>
        <w:rPr>
          <w:b/>
        </w:rPr>
        <w:t xml:space="preserve">HC-1: Settings/technical/heating_control.py</w:t>
      </w:r>
    </w:p>
    <w:p>
      <w:pPr>
        <w:spacing w:after="80"/>
      </w:pPr>
      <w:r>
        <w:t xml:space="preserve">Note: Global heating and cooling control defaults; scenario-specific overrides may change them in paper runs.</w:t>
      </w:r>
    </w:p>
    <w:p>
      <w:pPr>
        <w:spacing w:after="80"/>
      </w:pPr>
      <w:r>
        <w:rPr>
          <w:b/>
        </w:rPr>
        <w:t xml:space="preserve">TF-1: Settings/constraints/thermflex.py</w:t>
      </w:r>
    </w:p>
    <w:p>
      <w:pPr>
        <w:spacing w:after="80"/>
      </w:pPr>
      <w:r>
        <w:t xml:space="preserve">Note: Global thermflex-bound defaults; representative-day and paper runs override a subset of them explicitly.</w:t>
      </w:r>
    </w:p>
    <w:sectPr>
      <w:pgSz w:w="15840" w:h="12240" w:orient="landscape"/>
      <w:pgMar w:top="720" w:right="720" w:bottom="720" w:left="720" w:header="450" w:footer="45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Appendix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Vienna Building Model Parameters Appendix</dc:title>
  <dc:creator>Codex</dc:creator>
  <cp:lastModifiedBy>Codex</cp:lastModifiedBy>
  <dcterms:created xsi:type="dcterms:W3CDTF">2026-04-16T15:34:37+00:00</dcterms:created>
  <dcterms:modified xsi:type="dcterms:W3CDTF">2026-04-16T15:34:37+00:00</dcterms:modified>
</cp:coreProperties>
</file>