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560"/>
      </w:pPr>
      <w:r>
        <w:rPr>
          <w:rFonts w:ascii="Calibri Light" w:cs="Calibri Light" w:eastAsia="Calibri Light" w:hAnsi="Calibri Light"/>
          <w:b w:val="false"/>
          <w:bCs w:val="false"/>
          <w:i w:val="false"/>
          <w:iCs w:val="false"/>
          <w:caps w:val="false"/>
          <w:color w:val="071E2E"/>
          <w:sz w:val="52"/>
          <w:szCs w:val="52"/>
        </w:rPr>
        <w:t xml:space="preserve">Jacob Johannes Steyn</w:t>
      </w:r>
    </w:p>
    <w:p>
      <w:pPr>
        <w:spacing w:after="140" w:before="0" w:line="240"/>
      </w:pPr>
      <w:r>
        <w:rPr>
          <w:rFonts w:ascii="Calibri" w:cs="Calibri" w:eastAsia="Calibri" w:hAnsi="Calibri"/>
          <w:b w:val="false"/>
          <w:bCs w:val="false"/>
          <w:i w:val="false"/>
          <w:iCs w:val="false"/>
          <w:caps/>
          <w:color w:val="0E3A57"/>
          <w:spacing w:val="70"/>
          <w:sz w:val="19"/>
          <w:szCs w:val="19"/>
        </w:rPr>
        <w:t xml:space="preserve">Credit Risk Analyst</w:t>
      </w:r>
    </w:p>
    <w:p>
      <w:pPr>
        <w:spacing w:after="200" w:before="0" w:line="276"/>
      </w:pPr>
      <w:r>
        <w:rPr>
          <w:rFonts w:ascii="Consolas" w:cs="Consolas" w:eastAsia="Consolas" w:hAnsi="Consolas"/>
          <w:b w:val="false"/>
          <w:bCs w:val="false"/>
          <w:i w:val="false"/>
          <w:iCs w:val="false"/>
          <w:caps w:val="false"/>
          <w:color w:val="7C8B97"/>
          <w:sz w:val="18"/>
          <w:szCs w:val="18"/>
        </w:rPr>
        <w:t xml:space="preserve">jj.steyn@example.com   ·   082 555 0134   ·   Northern Suburbs, Cape Town</w:t>
      </w:r>
    </w:p>
    <w:p>
      <w:pPr>
        <w:pBdr>
          <w:bottom w:val="single" w:color="12B5E5" w:sz="10" w:space="0"/>
        </w:pBdr>
        <w:spacing w:after="420" w:before="0"/>
        <w:ind w:right="680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Profile</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200" w:before="0" w:line="276"/>
            </w:pPr>
            <w:r>
              <w:rPr>
                <w:rFonts w:ascii="Calibri" w:cs="Calibri" w:eastAsia="Calibri" w:hAnsi="Calibri"/>
                <w:b w:val="false"/>
                <w:bCs w:val="false"/>
                <w:i w:val="false"/>
                <w:iCs w:val="false"/>
                <w:caps w:val="false"/>
                <w:color w:val="0E3A57"/>
                <w:sz w:val="24"/>
                <w:szCs w:val="24"/>
              </w:rPr>
              <w:t xml:space="preserve">Credit Risk Analyst with experience across a retail consumer credit and Credit Optimisation environment. Experience across retail credit portfolio forecasting, IFRS9 monitoring, PD calibration, Expected Credit Loss (ECL) environments, scorecard development, collections analytics, and bureau-data-driven modelling.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Exposure to high-volume retail account customer environments involving closed-loop retail credit facilities linked to in-store and online retail purchases. Experience working with finance-aligned portfolio forecasting models used for budgeting and long-term retail credit projections.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Involved in development, monitoring, optimisation, recalibration, and automation of retail credit risk models. Experience working with bureau data, repayment capacity estimation models, distressed debt models, collections scorecards, and customer behavioural analytics.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Exposure to originations optimisation and credit top-up response modelling within a retail credit environment. Experience mentoring junior analysts and supporting model ownership responsibilities.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Technical exposure includes SAS, SQL, Python, automated scoring processes, and analytical reporting environments.</w:t>
            </w:r>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Qualifications</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900"/>
              <w:gridCol w:w="260"/>
              <w:gridCol w:w="5374"/>
            </w:tblGrid>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2018</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MSc. Business Mathematics and Informatics</w:t>
                  </w:r>
                </w:p>
                <w:p>
                  <w:pPr>
                    <w:spacing w:after="0" w:before="0" w:line="276"/>
                  </w:pPr>
                  <w:r>
                    <w:rPr>
                      <w:rFonts w:ascii="Calibri" w:cs="Calibri" w:eastAsia="Calibri" w:hAnsi="Calibri"/>
                      <w:b w:val="false"/>
                      <w:bCs w:val="false"/>
                      <w:i w:val="false"/>
                      <w:iCs w:val="false"/>
                      <w:caps w:val="false"/>
                      <w:color w:val="7C8B97"/>
                      <w:sz w:val="19"/>
                      <w:szCs w:val="19"/>
                    </w:rPr>
                    <w:t xml:space="preserve">North-West University</w:t>
                  </w:r>
                </w:p>
                <w:p>
                  <w:pPr>
                    <w:spacing w:after="0" w:before="0" w:line="276"/>
                  </w:pPr>
                  <w:r>
                    <w:rPr>
                      <w:rFonts w:ascii="Calibri" w:cs="Calibri" w:eastAsia="Calibri" w:hAnsi="Calibri"/>
                      <w:b w:val="false"/>
                      <w:bCs w:val="false"/>
                      <w:i/>
                      <w:iCs/>
                      <w:caps w:val="false"/>
                      <w:color w:val="7C8B97"/>
                      <w:sz w:val="19"/>
                      <w:szCs w:val="19"/>
                    </w:rPr>
                    <w:t xml:space="preserve">Specialisation: Business Analytics</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2017</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Honours BSc. Business Mathematics and Informatics</w:t>
                  </w:r>
                </w:p>
                <w:p>
                  <w:pPr>
                    <w:spacing w:after="0" w:before="0" w:line="276"/>
                  </w:pPr>
                  <w:r>
                    <w:rPr>
                      <w:rFonts w:ascii="Calibri" w:cs="Calibri" w:eastAsia="Calibri" w:hAnsi="Calibri"/>
                      <w:b w:val="false"/>
                      <w:bCs w:val="false"/>
                      <w:i w:val="false"/>
                      <w:iCs w:val="false"/>
                      <w:caps w:val="false"/>
                      <w:color w:val="7C8B97"/>
                      <w:sz w:val="19"/>
                      <w:szCs w:val="19"/>
                    </w:rPr>
                    <w:t xml:space="preserve">North-West University</w:t>
                  </w:r>
                </w:p>
                <w:p>
                  <w:pPr>
                    <w:spacing w:after="0" w:before="0" w:line="276"/>
                  </w:pPr>
                  <w:r>
                    <w:rPr>
                      <w:rFonts w:ascii="Calibri" w:cs="Calibri" w:eastAsia="Calibri" w:hAnsi="Calibri"/>
                      <w:b w:val="false"/>
                      <w:bCs w:val="false"/>
                      <w:i/>
                      <w:iCs/>
                      <w:caps w:val="false"/>
                      <w:color w:val="7C8B97"/>
                      <w:sz w:val="19"/>
                      <w:szCs w:val="19"/>
                    </w:rPr>
                    <w:t xml:space="preserve">Specialisation: Data Mining</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2016</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BSc. Quantitative Risk Management</w:t>
                  </w:r>
                </w:p>
                <w:p>
                  <w:pPr>
                    <w:spacing w:after="0" w:before="0" w:line="276"/>
                  </w:pPr>
                  <w:r>
                    <w:rPr>
                      <w:rFonts w:ascii="Calibri" w:cs="Calibri" w:eastAsia="Calibri" w:hAnsi="Calibri"/>
                      <w:b w:val="false"/>
                      <w:bCs w:val="false"/>
                      <w:i w:val="false"/>
                      <w:iCs w:val="false"/>
                      <w:caps w:val="false"/>
                      <w:color w:val="7C8B97"/>
                      <w:sz w:val="19"/>
                      <w:szCs w:val="19"/>
                    </w:rPr>
                    <w:t xml:space="preserve">North-West University</w:t>
                  </w: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Certifications</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900"/>
              <w:gridCol w:w="260"/>
              <w:gridCol w:w="5374"/>
            </w:tblGrid>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2024</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Survival Data Mining: A Programming Approach</w:t>
                  </w:r>
                </w:p>
                <w:p>
                  <w:pPr>
                    <w:spacing w:after="0" w:before="0" w:line="276"/>
                  </w:pPr>
                  <w:r>
                    <w:rPr>
                      <w:rFonts w:ascii="Calibri" w:cs="Calibri" w:eastAsia="Calibri" w:hAnsi="Calibri"/>
                      <w:b w:val="false"/>
                      <w:bCs w:val="false"/>
                      <w:i w:val="false"/>
                      <w:iCs w:val="false"/>
                      <w:caps w:val="false"/>
                      <w:color w:val="7C8B97"/>
                      <w:sz w:val="19"/>
                      <w:szCs w:val="19"/>
                    </w:rPr>
                    <w:t xml:space="preserve">SAS Institute</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2021</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Credit Risk Modeling</w:t>
                  </w:r>
                </w:p>
                <w:p>
                  <w:pPr>
                    <w:spacing w:after="0" w:before="0" w:line="276"/>
                  </w:pPr>
                  <w:r>
                    <w:rPr>
                      <w:rFonts w:ascii="Calibri" w:cs="Calibri" w:eastAsia="Calibri" w:hAnsi="Calibri"/>
                      <w:b w:val="false"/>
                      <w:bCs w:val="false"/>
                      <w:i w:val="false"/>
                      <w:iCs w:val="false"/>
                      <w:caps w:val="false"/>
                      <w:color w:val="7C8B97"/>
                      <w:sz w:val="19"/>
                      <w:szCs w:val="19"/>
                    </w:rPr>
                    <w:t xml:space="preserve">SAS Institute</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2020</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Building and Solving Optimization Models using SAS/OR</w:t>
                  </w:r>
                </w:p>
                <w:p>
                  <w:pPr>
                    <w:spacing w:after="0" w:before="0" w:line="276"/>
                  </w:pPr>
                  <w:r>
                    <w:rPr>
                      <w:rFonts w:ascii="Calibri" w:cs="Calibri" w:eastAsia="Calibri" w:hAnsi="Calibri"/>
                      <w:b w:val="false"/>
                      <w:bCs w:val="false"/>
                      <w:i w:val="false"/>
                      <w:iCs w:val="false"/>
                      <w:caps w:val="false"/>
                      <w:color w:val="7C8B97"/>
                      <w:sz w:val="19"/>
                      <w:szCs w:val="19"/>
                    </w:rPr>
                    <w:t xml:space="preserve">SAS Institute</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2019</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Data Science for Industry Short Course</w:t>
                  </w:r>
                </w:p>
                <w:p>
                  <w:pPr>
                    <w:spacing w:after="0" w:before="0" w:line="276"/>
                  </w:pPr>
                  <w:r>
                    <w:rPr>
                      <w:rFonts w:ascii="Calibri" w:cs="Calibri" w:eastAsia="Calibri" w:hAnsi="Calibri"/>
                      <w:b w:val="false"/>
                      <w:bCs w:val="false"/>
                      <w:i w:val="false"/>
                      <w:iCs w:val="false"/>
                      <w:caps w:val="false"/>
                      <w:color w:val="7C8B97"/>
                      <w:sz w:val="19"/>
                      <w:szCs w:val="19"/>
                    </w:rPr>
                    <w:t xml:space="preserve">University of Cape Town</w:t>
                  </w: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Capability</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2"/>
              <w:tblBorders>
                <w:top w:val="none" w:color="auto" w:sz="0"/>
                <w:left w:val="none" w:color="auto" w:sz="0"/>
                <w:bottom w:val="none" w:color="auto" w:sz="0"/>
                <w:right w:val="none" w:color="auto" w:sz="0"/>
                <w:insideH w:val="none" w:color="auto" w:sz="0"/>
                <w:insideV w:val="none" w:color="auto" w:sz="0"/>
              </w:tblBorders>
              <w:tblLayout w:type="fixed"/>
            </w:tblPr>
            <w:tblGrid>
              <w:gridCol w:w="2064"/>
              <w:gridCol w:w="170"/>
              <w:gridCol w:w="2064"/>
              <w:gridCol w:w="170"/>
              <w:gridCol w:w="2064"/>
            </w:tblGrid>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SAS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SQL</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Python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Microsoft 365</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AI tools for productivity</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modelling</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Predictive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Machine learning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scorecards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bureau data</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IFRS9 model monitoring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Probability of Default (PD) calibration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Expected Credit Loss (ECL) environments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Portfolio forecasting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Retail credit analytics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Collections analytics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Distressed debt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Repayment capacity estimation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Originations optimisation</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top-up response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Propensity modelling</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Automated scoring processes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Finance forecasting support</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Behavioural analytics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Model recalibration methodologies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4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40"/>
                  </w:pP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Experience</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40" w:before="0" w:line="240"/>
            </w:pPr>
            <w:r>
              <w:rPr>
                <w:rFonts w:ascii="Calibri Light" w:cs="Calibri Light" w:eastAsia="Calibri Light" w:hAnsi="Calibri Light"/>
                <w:b w:val="false"/>
                <w:bCs w:val="false"/>
                <w:i w:val="false"/>
                <w:iCs w:val="false"/>
                <w:caps w:val="false"/>
                <w:color w:val="071E2E"/>
                <w:sz w:val="26"/>
                <w:szCs w:val="26"/>
              </w:rPr>
              <w:t xml:space="preserve">The Foschini Group (TFG)</w:t>
            </w:r>
          </w:p>
          <w:p>
            <w:pPr>
              <w:spacing w:after="150" w:before="0" w:line="240"/>
            </w:pPr>
            <w:r>
              <w:rPr>
                <w:rFonts w:ascii="Consolas" w:cs="Consolas" w:eastAsia="Consolas" w:hAnsi="Consolas"/>
                <w:b w:val="false"/>
                <w:bCs w:val="false"/>
                <w:i w:val="false"/>
                <w:iCs w:val="false"/>
                <w:caps/>
                <w:color w:val="7C8B97"/>
                <w:spacing w:val="60"/>
                <w:sz w:val="15"/>
                <w:szCs w:val="15"/>
              </w:rPr>
              <w:t xml:space="preserve">January 2019 – Present</w:t>
            </w:r>
          </w:p>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3200"/>
              <w:gridCol w:w="260"/>
              <w:gridCol w:w="3074"/>
            </w:tblGrid>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12B5E5"/>
                      <w:sz w:val="17"/>
                      <w:szCs w:val="17"/>
                    </w:rPr>
                    <w:t xml:space="preserve">October 2024 – Present</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bCs/>
                      <w:i w:val="false"/>
                      <w:iCs w:val="false"/>
                      <w:caps w:val="false"/>
                      <w:color w:val="0E3A57"/>
                      <w:sz w:val="22"/>
                      <w:szCs w:val="22"/>
                    </w:rPr>
                    <w:t xml:space="preserve">Credit Risk Analyst III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2023 – September 2024</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Credit Risk Analyst II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2020 – December 2022</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Credit Risk Analyst 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2019 – December 2019</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Analytics Specialist</w:t>
                  </w:r>
                </w:p>
              </w:tc>
            </w:tr>
          </w:tbl>
          <w:p>
            <w:pPr>
              <w:pBdr>
                <w:left w:val="single" w:color="E4EDF3" w:sz="6" w:space="0"/>
              </w:pBdr>
              <w:spacing w:after="60" w:before="200" w:line="276"/>
              <w:ind w:left="220"/>
            </w:pPr>
            <w:r>
              <w:rPr>
                <w:rFonts w:ascii="Calibri" w:cs="Calibri" w:eastAsia="Calibri" w:hAnsi="Calibri"/>
                <w:b w:val="false"/>
                <w:bCs w:val="false"/>
                <w:i/>
                <w:iCs/>
                <w:caps w:val="false"/>
                <w:color w:val="7C8B97"/>
                <w:sz w:val="19"/>
                <w:szCs w:val="19"/>
              </w:rPr>
              <w:t xml:space="preserve">A leading South African retail group with a substantial unsecured retail consumer credit operation supporting both in-store and online purchases. The credit division manages large-scale retail credit portfolios and is involved in credit risk analytics, IFRS9 modelling, portfolio forecasting, collections optimisation, scorecard development, and customer behavioural modelling within a high-volume retail lending environment.</w:t>
            </w:r>
          </w:p>
          <w:p>
            <w:pPr>
              <w:spacing w:after="100" w:before="220" w:line="276"/>
            </w:pPr>
            <w:r>
              <w:rPr>
                <w:rFonts w:ascii="Consolas" w:cs="Consolas" w:eastAsia="Consolas" w:hAnsi="Consolas"/>
                <w:b w:val="false"/>
                <w:bCs w:val="false"/>
                <w:i w:val="false"/>
                <w:iCs w:val="false"/>
                <w:caps/>
                <w:color w:val="12B5E5"/>
                <w:spacing w:val="60"/>
                <w:sz w:val="15"/>
                <w:szCs w:val="15"/>
              </w:rPr>
              <w:t xml:space="preserve">Key achievements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Improved a 2-step calibration methodology through enhanced trigger data usage, contributing to reduction in net Expected Credit Loss (ECL)</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Developed a more robust tracking methodology to improve previous stability-testing approaches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Automate portfolio scoring activities and reduce manual Excel-driven scoring processes</w:t>
            </w:r>
          </w:p>
          <w:p>
            <w:pPr>
              <w:spacing w:after="100" w:before="220" w:line="276"/>
            </w:pPr>
            <w:r>
              <w:rPr>
                <w:rFonts w:ascii="Consolas" w:cs="Consolas" w:eastAsia="Consolas" w:hAnsi="Consolas"/>
                <w:b w:val="false"/>
                <w:bCs w:val="false"/>
                <w:i w:val="false"/>
                <w:iCs w:val="false"/>
                <w:caps/>
                <w:color w:val="12B5E5"/>
                <w:spacing w:val="60"/>
                <w:sz w:val="15"/>
                <w:szCs w:val="15"/>
              </w:rPr>
              <w:t xml:space="preserve">Responsibilities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Own the 5-year retail credit portfolio model</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ownership of 5-year model code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Value-Added Services (VAS) 5-year model code ownership</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distressed debt model and code ownership</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repayment capacity estimation models using bureau data</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action-effect models linked to customer spend optimisation</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credit top-up response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IFRS9 PD calibration methodology development</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and implement enhanced tracking methodologies focused on model stability and accuracy</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Drive continuous improvement of portfolio forecasting models and scoring processes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bureau-driven credit risk analytics, affordability estimation, repayment behaviour analysis, and long-term portfolio forecasting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propensity-to-spend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scorecards for collections environments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dashboard views analysing retail credit landscape behaviour using bureau data from the rewards customer base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and enhance 5-year retail credit portfolio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Produce automated scoring code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Conduct scorecard reweighting, monitoring, and implementation</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IFRS9 model work and monitoring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Conduct collections descriptive analytics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customer behavioural analytics linked to retail credit and CRM environments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portfolio model scoring and produce finance reporting views for budgeting and forecasting purposes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ad hoc analytical projects and IFRS9 analytical queries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Train and mentor junior analysts within the team</w:t>
            </w:r>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Early career</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3200"/>
              <w:gridCol w:w="260"/>
              <w:gridCol w:w="3074"/>
            </w:tblGrid>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2011 – January 2016</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20" w:before="0" w:line="276"/>
                  </w:pPr>
                  <w:r>
                    <w:rPr>
                      <w:rFonts w:ascii="Calibri" w:cs="Calibri" w:eastAsia="Calibri" w:hAnsi="Calibri"/>
                      <w:b/>
                      <w:bCs/>
                      <w:i w:val="false"/>
                      <w:iCs w:val="false"/>
                      <w:caps w:val="false"/>
                      <w:color w:val="2B3944"/>
                      <w:sz w:val="22"/>
                      <w:szCs w:val="22"/>
                    </w:rPr>
                    <w:t xml:space="preserve">Actuarial Analyst</w:t>
                  </w:r>
                </w:p>
                <w:p>
                  <w:pPr>
                    <w:spacing w:after="0" w:before="0" w:line="276"/>
                  </w:pPr>
                  <w:r>
                    <w:rPr>
                      <w:rFonts w:ascii="Calibri" w:cs="Calibri" w:eastAsia="Calibri" w:hAnsi="Calibri"/>
                      <w:b w:val="false"/>
                      <w:bCs w:val="false"/>
                      <w:i w:val="false"/>
                      <w:iCs w:val="false"/>
                      <w:caps w:val="false"/>
                      <w:color w:val="7C8B97"/>
                      <w:sz w:val="19"/>
                      <w:szCs w:val="19"/>
                    </w:rPr>
                    <w:t xml:space="preserve">ARGEN Actuarial Solutions</w:t>
                  </w:r>
                </w:p>
              </w:tc>
            </w:tr>
          </w:tbl>
          <w:p/>
        </w:tc>
      </w:tr>
    </w:tbl>
    <w:sectPr>
      <w:headerReference w:type="default" r:id="rId7"/>
      <w:footerReference w:type="default" r:id="rId8"/>
      <w:pgSz w:w="11906" w:h="16838" w:orient="portrait"/>
      <w:pgMar w:top="1100" w:right="1134" w:bottom="1000" w:left="1418" w:header="620" w:footer="4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onsolas" w:cs="Consolas" w:eastAsia="Consolas" w:hAnsi="Consolas"/>
        <w:color w:val="12B5E5"/>
        <w:sz w:val="15"/>
        <w:szCs w:val="15"/>
      </w:rPr>
      <w:fldChar w:fldCharType="begin"/>
      <w:instrText xml:space="preserve">PAGE</w:instrText>
      <w:fldChar w:fldCharType="separate"/>
      <w:fldChar w:fldCharType="end"/>
    </w:r>
    <w:r>
      <w:rPr>
        <w:rFonts w:ascii="Consolas" w:cs="Consolas" w:eastAsia="Consolas" w:hAnsi="Consolas"/>
        <w:color w:val="C3D5E0"/>
        <w:sz w:val="15"/>
        <w:szCs w:val="15"/>
      </w:rPr>
      <w:t xml:space="preserve"> / </w:t>
    </w:r>
    <w:r>
      <w:rPr>
        <w:rFonts w:ascii="Consolas" w:cs="Consolas" w:eastAsia="Consolas" w:hAnsi="Consolas"/>
        <w:color w:val="7C8B9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DF3" w:sz="4" w:space="0"/>
      </w:pBdr>
      <w:spacing w:after="0" w:line="240"/>
    </w:pPr>
    <w:r>
      <w:rPr>
        <w:rFonts w:ascii="Consolas" w:cs="Consolas" w:eastAsia="Consolas" w:hAnsi="Consolas"/>
        <w:b w:val="false"/>
        <w:bCs w:val="false"/>
        <w:i w:val="false"/>
        <w:iCs w:val="false"/>
        <w:caps/>
        <w:color w:val="0E3A57"/>
        <w:spacing w:val="60"/>
        <w:sz w:val="15"/>
        <w:szCs w:val="15"/>
      </w:rPr>
      <w:t xml:space="preserve">Jacob Johannes Steyn</w:t>
    </w:r>
    <w:r>
      <w:rPr>
        <w:rFonts w:ascii="Consolas" w:cs="Consolas" w:eastAsia="Consolas" w:hAnsi="Consolas"/>
        <w:b w:val="false"/>
        <w:bCs w:val="false"/>
        <w:i w:val="false"/>
        <w:iCs w:val="false"/>
        <w:caps/>
        <w:color w:val="7C8B97"/>
        <w:spacing w:val="60"/>
        <w:sz w:val="15"/>
        <w:szCs w:val="15"/>
      </w:rPr>
      <w:t xml:space="preserve">   ·   Credit Risk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rFonts w:ascii="Calibri" w:cs="Calibri" w:eastAsia="Calibri" w:hAnsi="Calibri"/>
        <w:color w:val="12B5E5"/>
        <w:sz w:val="22"/>
        <w:szCs w:val="22"/>
      </w:rPr>
    </w:lvl>
    <w:lvl w:ilvl="1" w15:tentative="1">
      <w:start w:val="1"/>
      <w:numFmt w:val="bullet"/>
      <w:lvlText w:val="·"/>
      <w:lvlJc w:val="left"/>
      <w:pPr>
        <w:ind w:left="640" w:hanging="280"/>
      </w:pPr>
      <w:rPr>
        <w:rFonts w:ascii="Calibri" w:cs="Calibri" w:eastAsia="Calibri" w:hAnsi="Calibri"/>
        <w:color w:val="C3D5E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9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Johannes Steyn — candidate profile</dc:title>
  <dc:creator>Talent Tree</dc:creator>
  <dc:description>Generated by CV-Builda</dc:description>
  <cp:lastModifiedBy>Un-named</cp:lastModifiedBy>
  <cp:revision>1</cp:revision>
  <dcterms:created xsi:type="dcterms:W3CDTF">2026-08-25T18:20:46.452Z</dcterms:created>
  <dcterms:modified xsi:type="dcterms:W3CDTF">2026-08-25T18:20:46.452Z</dcterms:modified>
</cp:coreProperties>
</file>

<file path=docProps/custom.xml><?xml version="1.0" encoding="utf-8"?>
<Properties xmlns="http://schemas.openxmlformats.org/officeDocument/2006/custom-properties" xmlns:vt="http://schemas.openxmlformats.org/officeDocument/2006/docPropsVTypes"/>
</file>