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auto" w:sz="0"/>
          <w:left w:val="none" w:color="auto" w:sz="0"/>
          <w:bottom w:val="none" w:color="auto" w:sz="0"/>
          <w:right w:val="none" w:color="auto" w:sz="0"/>
          <w:insideH w:val="none" w:color="auto" w:sz="0"/>
          <w:insideV w:val="none" w:color="auto" w:sz="0"/>
        </w:tblBorders>
        <w:tblLayout w:type="fixed"/>
      </w:tblPr>
      <w:tblGrid>
        <w:gridCol w:w="820"/>
        <w:gridCol w:w="11086"/>
      </w:tblGrid>
      <w:tr>
        <w:trPr>
          <w:trHeight w:val="16838"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tbl>
            <w:tblPr>
              <w:tblW w:type="dxa" w:w="820"/>
              <w:tblBorders>
                <w:top w:val="none" w:color="auto" w:sz="0"/>
                <w:left w:val="none" w:color="auto" w:sz="0"/>
                <w:bottom w:val="none" w:color="auto" w:sz="0"/>
                <w:right w:val="none" w:color="auto" w:sz="0"/>
                <w:insideH w:val="none" w:color="auto" w:sz="0"/>
                <w:insideV w:val="none" w:color="auto" w:sz="0"/>
              </w:tblBorders>
              <w:tblLayout w:type="fixed"/>
            </w:tblPr>
            <w:tblGrid>
              <w:gridCol w:w="820"/>
            </w:tblGrid>
            <w:tr>
              <w:trPr>
                <w:trHeight w:val="5980"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p>
                  <w:pPr>
                    <w:spacing w:after="0" w:before="0" w:line="20"/>
                  </w:pPr>
                </w:p>
              </w:tc>
            </w:tr>
            <w:tr>
              <w:trPr>
                <w:trHeight w:val="150" w:hRule="exact"/>
              </w:trPr>
              <w:tc>
                <w:tcPr>
                  <w:tcW w:type="dxa" w:w="820"/>
                  <w:tcBorders>
                    <w:top w:val="none" w:color="auto" w:sz="0"/>
                    <w:left w:val="none" w:color="auto" w:sz="0"/>
                    <w:bottom w:val="none" w:color="auto" w:sz="0"/>
                    <w:right w:val="none" w:color="auto" w:sz="0"/>
                  </w:tcBorders>
                  <w:shd w:fill="12B5E5" w:color="auto" w:val="clear"/>
                  <w:tcMar>
                    <w:top w:type="dxa" w:w="0"/>
                    <w:left w:type="dxa" w:w="0"/>
                    <w:bottom w:type="dxa" w:w="0"/>
                    <w:right w:type="dxa" w:w="0"/>
                  </w:tcMar>
                  <w:vAlign w:val="top"/>
                </w:tcPr>
                <w:p>
                  <w:pPr>
                    <w:spacing w:after="0" w:before="0" w:line="20"/>
                  </w:pPr>
                </w:p>
              </w:tc>
            </w:tr>
            <w:tr>
              <w:trPr>
                <w:trHeight w:val="10708"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p>
                  <w:pPr>
                    <w:spacing w:after="0" w:before="0" w:line="20"/>
                  </w:pPr>
                </w:p>
              </w:tc>
            </w:tr>
          </w:tbl>
          <w:p/>
        </w:tc>
        <w:tc>
          <w:tcPr>
            <w:tcW w:type="dxa" w:w="11086"/>
            <w:tcBorders>
              <w:top w:val="none" w:color="auto" w:sz="0"/>
              <w:left w:val="none" w:color="auto" w:sz="0"/>
              <w:bottom w:val="none" w:color="auto" w:sz="0"/>
              <w:right w:val="none" w:color="auto" w:sz="0"/>
            </w:tcBorders>
            <w:tcMar>
              <w:top w:type="dxa" w:w="0"/>
              <w:left w:type="dxa" w:w="1250"/>
              <w:bottom w:type="dxa" w:w="0"/>
              <w:right w:type="dxa" w:w="900"/>
            </w:tcMar>
            <w:vAlign w:val="top"/>
          </w:tcPr>
          <w:p>
            <w:pPr>
              <w:spacing w:after="900" w:before="0" w:line="20"/>
            </w:pPr>
          </w:p>
          <w:p>
            <w:pPr>
              <w:spacing w:after="60"/>
            </w:pPr>
            <w:r>
              <w:drawing>
                <wp:inline distT="0" distB="0" distL="0" distR="0">
                  <wp:extent cx="1257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057275"/>
                          </a:xfrm>
                          <a:prstGeom prst="rect">
                            <a:avLst/>
                          </a:prstGeom>
                        </pic:spPr>
                      </pic:pic>
                    </a:graphicData>
                  </a:graphic>
                </wp:inline>
              </w:drawing>
            </w:r>
          </w:p>
          <w:p>
            <w:pPr>
              <w:spacing w:after="2600" w:before="0" w:line="20"/>
            </w:pPr>
          </w:p>
          <w:p>
            <w:pPr>
              <w:spacing w:after="220" w:before="0" w:line="276"/>
            </w:pPr>
            <w:r>
              <w:rPr>
                <w:rFonts w:ascii="Consolas" w:cs="Consolas" w:eastAsia="Consolas" w:hAnsi="Consolas"/>
                <w:b w:val="false"/>
                <w:bCs w:val="false"/>
                <w:i w:val="false"/>
                <w:iCs w:val="false"/>
                <w:caps/>
                <w:color w:val="12B5E5"/>
                <w:spacing w:val="60"/>
                <w:sz w:val="15"/>
                <w:szCs w:val="15"/>
              </w:rPr>
              <w:t xml:space="preserve">Candidate profile</w:t>
            </w:r>
          </w:p>
          <w:p>
            <w:pPr>
              <w:spacing w:after="130" w:before="0" w:line="800"/>
            </w:pPr>
            <w:r>
              <w:rPr>
                <w:rFonts w:ascii="Calibri Light" w:cs="Calibri Light" w:eastAsia="Calibri Light" w:hAnsi="Calibri Light"/>
                <w:b w:val="false"/>
                <w:bCs w:val="false"/>
                <w:i w:val="false"/>
                <w:iCs w:val="false"/>
                <w:caps w:val="false"/>
                <w:color w:val="071E2E"/>
                <w:sz w:val="76"/>
                <w:szCs w:val="76"/>
              </w:rPr>
              <w:t xml:space="preserve">Candidate TT-4821</w:t>
            </w:r>
          </w:p>
          <w:p>
            <w:pPr>
              <w:spacing w:after="200" w:before="0" w:line="240"/>
            </w:pPr>
            <w:r>
              <w:rPr>
                <w:rFonts w:ascii="Calibri" w:cs="Calibri" w:eastAsia="Calibri" w:hAnsi="Calibri"/>
                <w:b w:val="false"/>
                <w:bCs w:val="false"/>
                <w:i w:val="false"/>
                <w:iCs w:val="false"/>
                <w:caps/>
                <w:color w:val="0E3A57"/>
                <w:spacing w:val="70"/>
                <w:sz w:val="24"/>
                <w:szCs w:val="24"/>
              </w:rPr>
              <w:t xml:space="preserve">Credit Risk Analyst</w:t>
            </w:r>
          </w:p>
          <w:p>
            <w:pPr>
              <w:pBdr>
                <w:bottom w:val="single" w:color="12B5E5" w:sz="10" w:space="0"/>
              </w:pBdr>
              <w:spacing w:after="620" w:before="0"/>
              <w:ind w:right="7436"/>
            </w:pPr>
          </w:p>
          <w:tbl>
            <w:tblPr>
              <w:tblW w:type="dxa" w:w="8936"/>
              <w:tblBorders>
                <w:top w:val="none" w:color="auto" w:sz="0"/>
                <w:left w:val="none" w:color="auto" w:sz="0"/>
                <w:bottom w:val="none" w:color="auto" w:sz="0"/>
                <w:right w:val="none" w:color="auto" w:sz="0"/>
                <w:insideH w:val="none" w:color="auto" w:sz="0"/>
                <w:insideV w:val="none" w:color="auto" w:sz="0"/>
              </w:tblBorders>
              <w:tblLayout w:type="fixed"/>
            </w:tblPr>
            <w:tblGrid>
              <w:gridCol w:w="4218"/>
              <w:gridCol w:w="500"/>
              <w:gridCol w:w="4218"/>
            </w:tblGrid>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Citizenship</w:t>
                  </w:r>
                </w:p>
                <w:p>
                  <w:pPr>
                    <w:spacing w:after="0" w:before="0" w:line="240"/>
                  </w:pPr>
                  <w:r>
                    <w:rPr>
                      <w:rFonts w:ascii="Calibri" w:cs="Calibri" w:eastAsia="Calibri" w:hAnsi="Calibri"/>
                      <w:b w:val="false"/>
                      <w:bCs w:val="false"/>
                      <w:i w:val="false"/>
                      <w:iCs w:val="false"/>
                      <w:caps w:val="false"/>
                      <w:color w:val="2B3944"/>
                      <w:sz w:val="19"/>
                      <w:szCs w:val="19"/>
                    </w:rPr>
                    <w:t xml:space="preserve">South African</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Languages</w:t>
                  </w:r>
                </w:p>
                <w:p>
                  <w:pPr>
                    <w:spacing w:after="0" w:before="0" w:line="240"/>
                  </w:pPr>
                  <w:r>
                    <w:rPr>
                      <w:rFonts w:ascii="Calibri" w:cs="Calibri" w:eastAsia="Calibri" w:hAnsi="Calibri"/>
                      <w:b w:val="false"/>
                      <w:bCs w:val="false"/>
                      <w:i w:val="false"/>
                      <w:iCs w:val="false"/>
                      <w:caps w:val="false"/>
                      <w:color w:val="2B3944"/>
                      <w:sz w:val="19"/>
                      <w:szCs w:val="19"/>
                    </w:rPr>
                    <w:t xml:space="preserve">English, Afrikaans</w:t>
                  </w:r>
                </w:p>
              </w:tc>
            </w:tr>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Age</w:t>
                  </w:r>
                </w:p>
                <w:p>
                  <w:pPr>
                    <w:spacing w:after="0" w:before="0" w:line="240"/>
                  </w:pPr>
                  <w:r>
                    <w:rPr>
                      <w:rFonts w:ascii="Calibri" w:cs="Calibri" w:eastAsia="Calibri" w:hAnsi="Calibri"/>
                      <w:b w:val="false"/>
                      <w:bCs w:val="false"/>
                      <w:i w:val="false"/>
                      <w:iCs w:val="false"/>
                      <w:caps w:val="false"/>
                      <w:color w:val="2B3944"/>
                      <w:sz w:val="19"/>
                      <w:szCs w:val="19"/>
                    </w:rPr>
                    <w:t xml:space="preserve">40 – 45</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Area of residence</w:t>
                  </w:r>
                </w:p>
                <w:p>
                  <w:pPr>
                    <w:spacing w:after="0" w:before="0" w:line="240"/>
                  </w:pPr>
                  <w:r>
                    <w:rPr>
                      <w:rFonts w:ascii="Calibri" w:cs="Calibri" w:eastAsia="Calibri" w:hAnsi="Calibri"/>
                      <w:b w:val="false"/>
                      <w:bCs w:val="false"/>
                      <w:i w:val="false"/>
                      <w:iCs w:val="false"/>
                      <w:caps w:val="false"/>
                      <w:color w:val="2B3944"/>
                      <w:sz w:val="19"/>
                      <w:szCs w:val="19"/>
                    </w:rPr>
                    <w:t xml:space="preserve">Western Cape</w:t>
                  </w:r>
                </w:p>
              </w:tc>
            </w:tr>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Availability</w:t>
                  </w:r>
                </w:p>
                <w:p>
                  <w:pPr>
                    <w:spacing w:after="0" w:before="0" w:line="240"/>
                  </w:pPr>
                  <w:r>
                    <w:rPr>
                      <w:rFonts w:ascii="Calibri" w:cs="Calibri" w:eastAsia="Calibri" w:hAnsi="Calibri"/>
                      <w:b w:val="false"/>
                      <w:bCs w:val="false"/>
                      <w:i w:val="false"/>
                      <w:iCs w:val="false"/>
                      <w:caps w:val="false"/>
                      <w:color w:val="2B3944"/>
                      <w:sz w:val="19"/>
                      <w:szCs w:val="19"/>
                    </w:rPr>
                    <w:t xml:space="preserve">Calendar Month</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r>
          </w:tbl>
          <w:p>
            <w:pPr>
              <w:spacing w:after="4700" w:before="0" w:line="20"/>
            </w:pPr>
          </w:p>
          <w:p>
            <w:pPr>
              <w:pBdr>
                <w:bottom w:val="single" w:color="C3D5E0" w:sz="4" w:space="0"/>
              </w:pBdr>
              <w:spacing w:after="160" w:before="0"/>
              <w:ind w:right="5936"/>
            </w:pPr>
          </w:p>
          <w:p>
            <w:pPr>
              <w:spacing w:after="110" w:before="0" w:line="276"/>
            </w:pPr>
            <w:r>
              <w:rPr>
                <w:rFonts w:ascii="Consolas" w:cs="Consolas" w:eastAsia="Consolas" w:hAnsi="Consolas"/>
                <w:b w:val="false"/>
                <w:bCs w:val="false"/>
                <w:i w:val="false"/>
                <w:iCs w:val="false"/>
                <w:caps/>
                <w:color w:val="7C8B97"/>
                <w:spacing w:val="60"/>
                <w:sz w:val="15"/>
                <w:szCs w:val="15"/>
              </w:rPr>
              <w:t xml:space="preserve">Presented by</w:t>
            </w:r>
          </w:p>
          <w:p>
            <w:pPr>
              <w:spacing w:after="30" w:before="0" w:line="276"/>
            </w:pPr>
            <w:r>
              <w:rPr>
                <w:rFonts w:ascii="Calibri" w:cs="Calibri" w:eastAsia="Calibri" w:hAnsi="Calibri"/>
                <w:b/>
                <w:bCs/>
                <w:i w:val="false"/>
                <w:iCs w:val="false"/>
                <w:caps w:val="false"/>
                <w:color w:val="0E3A57"/>
                <w:sz w:val="19"/>
                <w:szCs w:val="19"/>
              </w:rPr>
              <w:t xml:space="preserve">Graham Glintenkamp</w:t>
            </w:r>
          </w:p>
          <w:p>
            <w:pPr>
              <w:spacing w:after="26" w:before="0" w:line="276"/>
            </w:pPr>
            <w:r>
              <w:rPr>
                <w:rFonts w:ascii="Consolas" w:cs="Consolas" w:eastAsia="Consolas" w:hAnsi="Consolas"/>
                <w:b w:val="false"/>
                <w:bCs w:val="false"/>
                <w:i w:val="false"/>
                <w:iCs w:val="false"/>
                <w:caps w:val="false"/>
                <w:color w:val="7C8B97"/>
                <w:sz w:val="18"/>
                <w:szCs w:val="18"/>
              </w:rPr>
              <w:t xml:space="preserve">072 7400 439</w:t>
            </w:r>
          </w:p>
          <w:p>
            <w:pPr>
              <w:spacing w:after="26" w:before="0" w:line="276"/>
            </w:pPr>
            <w:r>
              <w:rPr>
                <w:rFonts w:ascii="Consolas" w:cs="Consolas" w:eastAsia="Consolas" w:hAnsi="Consolas"/>
                <w:b w:val="false"/>
                <w:bCs w:val="false"/>
                <w:i w:val="false"/>
                <w:iCs w:val="false"/>
                <w:caps w:val="false"/>
                <w:color w:val="7C8B97"/>
                <w:sz w:val="18"/>
                <w:szCs w:val="18"/>
              </w:rPr>
              <w:t xml:space="preserve">CV@talenttree.co.za</w:t>
            </w:r>
          </w:p>
        </w:tc>
      </w:tr>
    </w:tbl>
    <w:p>
      <w:pPr>
        <w:sectPr>
          <w:pgSz w:w="11906" w:h="16838" w:orient="portrait"/>
          <w:pgMar w:top="0" w:right="0" w:bottom="0" w:left="0" w:header="0" w:footer="0" w:gutter="0"/>
          <w:pgNumType/>
          <w:docGrid w:linePitch="360"/>
        </w:sectPr>
      </w:pPr>
    </w:p>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Profile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0" w:before="0" w:line="276"/>
            </w:pPr>
            <w:r>
              <w:rPr>
                <w:rFonts w:ascii="Calibri" w:cs="Calibri" w:eastAsia="Calibri" w:hAnsi="Calibri"/>
                <w:b w:val="false"/>
                <w:bCs w:val="false"/>
                <w:i w:val="false"/>
                <w:iCs w:val="false"/>
                <w:caps w:val="false"/>
                <w:color w:val="0E3A57"/>
                <w:sz w:val="24"/>
                <w:szCs w:val="24"/>
              </w:rPr>
              <w:t xml:space="preserve">Credit Risk Analyst with experience across a retail consumer credit and Credit Optimisation environment. Experience across retail credit portfolio forecasting, IFRS9 monitoring, PD calibration, Expected Credit Loss (ECL) environments, scorecard development, collections analytics, and bureau-data-driven modelling.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high-volume retail account customer environments involving closed-loop retail credit facilities linked to in-store and online retail purchases. Experience working with finance-aligned portfolio forecasting models used for budgeting and long-term retail credit projections.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Involved in development, monitoring, optimisation, recalibration, and automation of retail credit risk models. Experience working with bureau data, repayment capacity estimation models, distressed debt models, collections scorecards, and customer behavioural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originations optimisation and credit top-up response modelling within a retail credit environment. Experience mentoring junior analysts and supporting model ownership 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Technical exposure includes SAS, SQL, Python, automated scoring processes, and analytical reporting environments.</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Qualifications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2018</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MSc.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South African university</w:t>
                  </w:r>
                </w:p>
                <w:p>
                  <w:pPr>
                    <w:spacing w:after="0" w:before="0" w:line="276"/>
                  </w:pPr>
                  <w:r>
                    <w:rPr>
                      <w:rFonts w:ascii="Calibri" w:cs="Calibri" w:eastAsia="Calibri" w:hAnsi="Calibri"/>
                      <w:b w:val="false"/>
                      <w:bCs w:val="false"/>
                      <w:i/>
                      <w:iCs/>
                      <w:caps w:val="false"/>
                      <w:color w:val="7C8B97"/>
                      <w:sz w:val="19"/>
                      <w:szCs w:val="19"/>
                    </w:rPr>
                    <w:t xml:space="preserve">Specialisation: Business Analytics</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2017</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Honours BSc.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South African university</w:t>
                  </w:r>
                </w:p>
                <w:p>
                  <w:pPr>
                    <w:spacing w:after="0" w:before="0" w:line="276"/>
                  </w:pPr>
                  <w:r>
                    <w:rPr>
                      <w:rFonts w:ascii="Calibri" w:cs="Calibri" w:eastAsia="Calibri" w:hAnsi="Calibri"/>
                      <w:b w:val="false"/>
                      <w:bCs w:val="false"/>
                      <w:i/>
                      <w:iCs/>
                      <w:caps w:val="false"/>
                      <w:color w:val="7C8B97"/>
                      <w:sz w:val="19"/>
                      <w:szCs w:val="19"/>
                    </w:rPr>
                    <w:t xml:space="preserve">Specialisation: Data Mining</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2016</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BSc. Quantitative Risk Management</w:t>
                  </w:r>
                </w:p>
                <w:p>
                  <w:pPr>
                    <w:spacing w:after="0" w:before="0" w:line="276"/>
                  </w:pPr>
                  <w:r>
                    <w:rPr>
                      <w:rFonts w:ascii="Calibri" w:cs="Calibri" w:eastAsia="Calibri" w:hAnsi="Calibri"/>
                      <w:b w:val="false"/>
                      <w:bCs w:val="false"/>
                      <w:i w:val="false"/>
                      <w:iCs w:val="false"/>
                      <w:caps w:val="false"/>
                      <w:color w:val="7C8B97"/>
                      <w:sz w:val="19"/>
                      <w:szCs w:val="19"/>
                    </w:rPr>
                    <w:t xml:space="preserve">South African university</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Certifications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2024</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Survival Data Mining: A Programming Approach</w:t>
                  </w:r>
                </w:p>
                <w:p>
                  <w:pPr>
                    <w:spacing w:after="0" w:before="0" w:line="276"/>
                  </w:pPr>
                  <w:r>
                    <w:rPr>
                      <w:rFonts w:ascii="Calibri" w:cs="Calibri" w:eastAsia="Calibri" w:hAnsi="Calibri"/>
                      <w:b w:val="false"/>
                      <w:bCs w:val="false"/>
                      <w:i w:val="false"/>
                      <w:iCs w:val="false"/>
                      <w:caps w:val="false"/>
                      <w:color w:val="7C8B97"/>
                      <w:sz w:val="19"/>
                      <w:szCs w:val="19"/>
                    </w:rPr>
                    <w:t xml:space="preserve">Accredited training provider</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2021</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Credit Risk Modeling</w:t>
                  </w:r>
                </w:p>
                <w:p>
                  <w:pPr>
                    <w:spacing w:after="0" w:before="0" w:line="276"/>
                  </w:pPr>
                  <w:r>
                    <w:rPr>
                      <w:rFonts w:ascii="Calibri" w:cs="Calibri" w:eastAsia="Calibri" w:hAnsi="Calibri"/>
                      <w:b w:val="false"/>
                      <w:bCs w:val="false"/>
                      <w:i w:val="false"/>
                      <w:iCs w:val="false"/>
                      <w:caps w:val="false"/>
                      <w:color w:val="7C8B97"/>
                      <w:sz w:val="19"/>
                      <w:szCs w:val="19"/>
                    </w:rPr>
                    <w:t xml:space="preserve">Accredited training provider</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2020</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Building and Solving Optimization Models using SAS/OR</w:t>
                  </w:r>
                </w:p>
                <w:p>
                  <w:pPr>
                    <w:spacing w:after="0" w:before="0" w:line="276"/>
                  </w:pPr>
                  <w:r>
                    <w:rPr>
                      <w:rFonts w:ascii="Calibri" w:cs="Calibri" w:eastAsia="Calibri" w:hAnsi="Calibri"/>
                      <w:b w:val="false"/>
                      <w:bCs w:val="false"/>
                      <w:i w:val="false"/>
                      <w:iCs w:val="false"/>
                      <w:caps w:val="false"/>
                      <w:color w:val="7C8B97"/>
                      <w:sz w:val="19"/>
                      <w:szCs w:val="19"/>
                    </w:rPr>
                    <w:t xml:space="preserve">Accredited training provider</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2019</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Data Science for Industry Short Course</w:t>
                  </w:r>
                </w:p>
                <w:p>
                  <w:pPr>
                    <w:spacing w:after="0" w:before="0" w:line="276"/>
                  </w:pPr>
                  <w:r>
                    <w:rPr>
                      <w:rFonts w:ascii="Calibri" w:cs="Calibri" w:eastAsia="Calibri" w:hAnsi="Calibri"/>
                      <w:b w:val="false"/>
                      <w:bCs w:val="false"/>
                      <w:i w:val="false"/>
                      <w:iCs w:val="false"/>
                      <w:caps w:val="false"/>
                      <w:color w:val="7C8B97"/>
                      <w:sz w:val="19"/>
                      <w:szCs w:val="19"/>
                    </w:rPr>
                    <w:t xml:space="preserve">Accredited training provider</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Capability</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2"/>
              <w:tblBorders>
                <w:top w:val="none" w:color="auto" w:sz="0"/>
                <w:left w:val="none" w:color="auto" w:sz="0"/>
                <w:bottom w:val="none" w:color="auto" w:sz="0"/>
                <w:right w:val="none" w:color="auto" w:sz="0"/>
                <w:insideH w:val="none" w:color="auto" w:sz="0"/>
                <w:insideV w:val="none" w:color="auto" w:sz="0"/>
              </w:tblBorders>
              <w:tblLayout w:type="fixed"/>
            </w:tblPr>
            <w:tblGrid>
              <w:gridCol w:w="2064"/>
              <w:gridCol w:w="170"/>
              <w:gridCol w:w="2064"/>
              <w:gridCol w:w="170"/>
              <w:gridCol w:w="2064"/>
            </w:tblGrid>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SAS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SQL</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Python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Microsoft 365</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AI tools for productivity</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Predictive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Machine learning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scorecards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bureau data</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IFRS9 model monitoring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Probability of Default (PD) calibration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Expected Credit Loss (ECL) environments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Portfolio forecasting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Retail credit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Collections analytics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Distressed debt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Repayment capacity estimation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Originations optimisation</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top-up response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Propensity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Automated scoring processes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Finance forecasting support</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Behavioural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Model recalibration methodologies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Experience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40" w:before="0" w:line="240"/>
            </w:pPr>
            <w:r>
              <w:rPr>
                <w:rFonts w:ascii="Calibri Light" w:cs="Calibri Light" w:eastAsia="Calibri Light" w:hAnsi="Calibri Light"/>
                <w:b w:val="false"/>
                <w:bCs w:val="false"/>
                <w:i w:val="false"/>
                <w:iCs w:val="false"/>
                <w:caps w:val="false"/>
                <w:color w:val="071E2E"/>
                <w:sz w:val="26"/>
                <w:szCs w:val="26"/>
              </w:rPr>
              <w:t xml:space="preserve">JSE-listed retail group</w:t>
            </w:r>
          </w:p>
          <w:p>
            <w:pPr>
              <w:spacing w:after="150" w:before="0" w:line="240"/>
            </w:pPr>
            <w:r>
              <w:rPr>
                <w:rFonts w:ascii="Consolas" w:cs="Consolas" w:eastAsia="Consolas" w:hAnsi="Consolas"/>
                <w:b w:val="false"/>
                <w:bCs w:val="false"/>
                <w:i w:val="false"/>
                <w:iCs w:val="false"/>
                <w:caps/>
                <w:color w:val="7C8B97"/>
                <w:spacing w:val="60"/>
                <w:sz w:val="15"/>
                <w:szCs w:val="15"/>
              </w:rPr>
              <w:t xml:space="preserve">7 – 10 years</w:t>
            </w:r>
          </w:p>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1 – 2 years</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bCs/>
                      <w:i w:val="false"/>
                      <w:iCs w:val="false"/>
                      <w:caps w:val="false"/>
                      <w:color w:val="0E3A57"/>
                      <w:sz w:val="22"/>
                      <w:szCs w:val="22"/>
                    </w:rPr>
                    <w:t xml:space="preserve">Credit Risk Analyst III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1 – 2 years</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2 – 4 years</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Under 1 year</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Analytics Specialist</w:t>
                  </w:r>
                </w:p>
              </w:tc>
            </w:tr>
          </w:tbl>
          <w:p>
            <w:pPr>
              <w:pBdr>
                <w:left w:val="single" w:color="E4EDF3" w:sz="6" w:space="0"/>
              </w:pBdr>
              <w:spacing w:after="60" w:before="200" w:line="276"/>
              <w:ind w:left="220"/>
            </w:pPr>
            <w:r>
              <w:rPr>
                <w:rFonts w:ascii="Calibri" w:cs="Calibri" w:eastAsia="Calibri" w:hAnsi="Calibri"/>
                <w:b w:val="false"/>
                <w:bCs w:val="false"/>
                <w:i/>
                <w:iCs/>
                <w:caps w:val="false"/>
                <w:color w:val="7C8B97"/>
                <w:sz w:val="19"/>
                <w:szCs w:val="19"/>
              </w:rPr>
              <w:t xml:space="preserve">A leading South African retail group with a substantial unsecured retail consumer credit operation supporting both in-store and online purchases. The credit division manages large-scale retail credit portfolios and is involved in credit risk analytics, IFRS9 modelling, portfolio forecasting, collections optimisation, scorecard development, and customer behavioural modelling within a high-volume retail lending environment.</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Key achievements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Improved a 2-step calibration methodology through enhanced trigger data usage, contributing to reduction in net Expected Credit Loss (ECL)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Developed a more robust tracking methodology to improve previous stability-testing approaches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Automate portfolio scoring activities and reduce manual Excel-driven scoring processes</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Own the 5-year retail credit portfolio model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ownership of 5-year model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Value-Added Services (VAS) 5-year model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distressed debt model and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repayment capacity estimation models using bureau data</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action-effect models linked to customer spend optimisation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credit top-up response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IFRS9 PD calibration methodology development</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and implement enhanced tracking methodologies focused on model stability and accuracy</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Drive continuous improvement of portfolio forecasting models and scoring processes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bureau-driven credit risk analytics, affordability estimation, repayment behaviour analysis, and long-term portfolio forecasting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propensity-to-spend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scorecards for collections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dashboard views analysing retail credit landscape behaviour using bureau data from the rewards customer base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and enhance 5-year retail credit portfolio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Produce automated scoring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scorecard reweighting, monitoring, and implementation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IFRS9 model work and monitoring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collections descriptive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customer behavioural analytics linked to retail credit and CRM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portfolio model scoring and produce finance reporting views for budgeting and forecasting purposes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ad hoc analytical projects and IFRS9 analytical queries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Train and mentor junior analysts within the team</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Early career</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4 – 7 years</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 w:before="0" w:line="276"/>
                  </w:pPr>
                  <w:r>
                    <w:rPr>
                      <w:rFonts w:ascii="Calibri" w:cs="Calibri" w:eastAsia="Calibri" w:hAnsi="Calibri"/>
                      <w:b/>
                      <w:bCs/>
                      <w:i w:val="false"/>
                      <w:iCs w:val="false"/>
                      <w:caps w:val="false"/>
                      <w:color w:val="2B3944"/>
                      <w:sz w:val="22"/>
                      <w:szCs w:val="22"/>
                    </w:rPr>
                    <w:t xml:space="preserve">Actuarial Analyst</w:t>
                  </w:r>
                </w:p>
                <w:p>
                  <w:pPr>
                    <w:spacing w:after="0" w:before="0" w:line="276"/>
                  </w:pPr>
                  <w:r>
                    <w:rPr>
                      <w:rFonts w:ascii="Calibri" w:cs="Calibri" w:eastAsia="Calibri" w:hAnsi="Calibri"/>
                      <w:b w:val="false"/>
                      <w:bCs w:val="false"/>
                      <w:i w:val="false"/>
                      <w:iCs w:val="false"/>
                      <w:caps w:val="false"/>
                      <w:color w:val="7C8B97"/>
                      <w:sz w:val="19"/>
                      <w:szCs w:val="19"/>
                    </w:rPr>
                    <w:t xml:space="preserve">Actuarial consultancy</w:t>
                  </w:r>
                </w:p>
              </w:tc>
            </w:tr>
          </w:tbl>
          <w:p/>
        </w:tc>
      </w:tr>
    </w:tbl>
    <w:sectPr>
      <w:headerReference w:type="default" r:id="rId7"/>
      <w:footerReference w:type="default" r:id="rId8"/>
      <w:pgSz w:w="11906" w:h="16838" w:orient="portrait"/>
      <w:pgMar w:top="1100" w:right="1134" w:bottom="1000" w:left="1418" w:header="620" w:footer="4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190"/>
      <w:jc w:val="both"/>
    </w:pPr>
    <w:r>
      <w:rPr>
        <w:rFonts w:ascii="Calibri" w:cs="Calibri" w:eastAsia="Calibri" w:hAnsi="Calibri"/>
        <w:b w:val="false"/>
        <w:bCs w:val="false"/>
        <w:i w:val="false"/>
        <w:iCs w:val="false"/>
        <w:caps w:val="false"/>
        <w:color w:val="7C8B97"/>
        <w:sz w:val="15"/>
        <w:szCs w:val="15"/>
      </w:rPr>
      <w:t xml:space="preserve">To ensure absolute confidentiality, no contact may be made with any Referee or Employer without the express permission of the Candidate. In order to protect a Candidate’s personal data no CV’s may be forwarded to any third party without our express written permission. All electronic copies of CV’s are to be securely stored (e.g. password protected) with any printed copies secured as confidential information. Acceptance of this CV constitutes acceptance of the Standard Terms and Conditions of Talent Tree, additional copies of which are available upon request.</w:t>
    </w:r>
  </w:p>
  <w:p>
    <w:pPr>
      <w:spacing w:after="0"/>
      <w:jc w:val="right"/>
    </w:pPr>
    <w:r>
      <w:rPr>
        <w:rFonts w:ascii="Consolas" w:cs="Consolas" w:eastAsia="Consolas" w:hAnsi="Consolas"/>
        <w:color w:val="12B5E5"/>
        <w:sz w:val="15"/>
        <w:szCs w:val="15"/>
      </w:rPr>
      <w:fldChar w:fldCharType="begin"/>
      <w:instrText xml:space="preserve">PAGE</w:instrText>
      <w:fldChar w:fldCharType="separate"/>
      <w:fldChar w:fldCharType="end"/>
    </w:r>
    <w:r>
      <w:rPr>
        <w:rFonts w:ascii="Consolas" w:cs="Consolas" w:eastAsia="Consolas" w:hAnsi="Consolas"/>
        <w:color w:val="C3D5E0"/>
        <w:sz w:val="15"/>
        <w:szCs w:val="15"/>
      </w:rPr>
      <w:t xml:space="preserve"> / </w:t>
    </w:r>
    <w:r>
      <w:rPr>
        <w:rFonts w:ascii="Consolas" w:cs="Consolas" w:eastAsia="Consolas" w:hAnsi="Consolas"/>
        <w:color w:val="7C8B9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DF3" w:sz="4" w:space="0"/>
      </w:pBdr>
      <w:spacing w:after="0" w:line="240"/>
    </w:pPr>
    <w:r>
      <w:rPr>
        <w:rFonts w:ascii="Consolas" w:cs="Consolas" w:eastAsia="Consolas" w:hAnsi="Consolas"/>
        <w:b w:val="false"/>
        <w:bCs w:val="false"/>
        <w:i w:val="false"/>
        <w:iCs w:val="false"/>
        <w:caps/>
        <w:color w:val="0E3A57"/>
        <w:spacing w:val="60"/>
        <w:sz w:val="15"/>
        <w:szCs w:val="15"/>
      </w:rPr>
      <w:t xml:space="preserve">Candidate TT-4821</w:t>
    </w:r>
    <w:r>
      <w:rPr>
        <w:rFonts w:ascii="Consolas" w:cs="Consolas" w:eastAsia="Consolas" w:hAnsi="Consolas"/>
        <w:b w:val="false"/>
        <w:bCs w:val="false"/>
        <w:i w:val="false"/>
        <w:iCs w:val="false"/>
        <w:caps/>
        <w:color w:val="7C8B97"/>
        <w:spacing w:val="60"/>
        <w:sz w:val="15"/>
        <w:szCs w:val="15"/>
      </w:rPr>
      <w:t xml:space="preserve">   ·   Credit Risk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rFonts w:ascii="Calibri" w:cs="Calibri" w:eastAsia="Calibri" w:hAnsi="Calibri"/>
        <w:color w:val="12B5E5"/>
        <w:sz w:val="22"/>
        <w:szCs w:val="22"/>
      </w:rPr>
    </w:lvl>
    <w:lvl w:ilvl="1" w15:tentative="1">
      <w:start w:val="1"/>
      <w:numFmt w:val="bullet"/>
      <w:lvlText w:val="·"/>
      <w:lvlJc w:val="left"/>
      <w:pPr>
        <w:ind w:left="640" w:hanging="280"/>
      </w:pPr>
      <w:rPr>
        <w:rFonts w:ascii="Calibri" w:cs="Calibri" w:eastAsia="Calibri" w:hAnsi="Calibri"/>
        <w:color w:val="C3D5E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9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248ac8f5a9f163a10549b7f9db6175d08c6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TT-4821 — candidate profile</dc:title>
  <dc:creator>Talent Tree</dc:creator>
  <dc:description>Generated by CV-Builda</dc:description>
  <cp:lastModifiedBy>Un-named</cp:lastModifiedBy>
  <cp:revision>1</cp:revision>
  <dcterms:created xsi:type="dcterms:W3CDTF">2026-08-25T18:20:46.374Z</dcterms:created>
  <dcterms:modified xsi:type="dcterms:W3CDTF">2026-08-25T18:20:46.374Z</dcterms:modified>
</cp:coreProperties>
</file>

<file path=docProps/custom.xml><?xml version="1.0" encoding="utf-8"?>
<Properties xmlns="http://schemas.openxmlformats.org/officeDocument/2006/custom-properties" xmlns:vt="http://schemas.openxmlformats.org/officeDocument/2006/docPropsVTypes"/>
</file>