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28"/>
          <w:szCs w:val="28"/>
        </w:rPr>
        <w:t xml:space="preserve">Vungu Rural District Council · SpartialIQ</w:t>
      </w:r>
    </w:p>
    <w:p>
      <w:pPr>
        <w:spacing w:after="80"/>
        <w:jc w:val="center"/>
      </w:pPr>
      <w:r>
        <w:rPr>
          <w:b/>
          <w:bCs/>
          <w:sz w:val="36"/>
          <w:szCs w:val="36"/>
        </w:rPr>
        <w:t xml:space="preserve">1 — Conceptual Model</w:t>
      </w:r>
    </w:p>
    <w:p>
      <w:pPr>
        <w:spacing w:after="200"/>
        <w:jc w:val="center"/>
      </w:pPr>
      <w:r>
        <w:rPr>
          <w:i/>
          <w:iCs/>
          <w:color w:val="64748B"/>
          <w:sz w:val="20"/>
          <w:szCs w:val="20"/>
        </w:rPr>
        <w:t xml:space="preserve">What the council system is about (business concepts, not tables)</w:t>
      </w:r>
    </w:p>
    <w:p>
      <w:pPr>
        <w:spacing w:after="120"/>
      </w:pPr>
      <w:r>
        <w:rPr>
          <w:sz w:val="22"/>
          <w:szCs w:val="22"/>
        </w:rPr>
        <w:t xml:space="preserve">Date: 23 September 2026. Companion docs: Zimbabwe Role Expectations; Council Operations Flows Manual; Supervisor Review Rectification.</w:t>
      </w:r>
    </w:p>
    <w:p>
      <w:pPr>
        <w:spacing w:after="60"/>
      </w:pPr>
    </w:p>
    <w:p>
      <w:pPr>
        <w:pStyle w:val="Heading1"/>
        <w:spacing w:after="140" w:before="320"/>
      </w:pPr>
      <w:r>
        <w:rPr>
          <w:b/>
          <w:bCs/>
          <w:color w:val="1E3A5F"/>
        </w:rPr>
        <w:t xml:space="preserve">1. Purpose of the conceptual model</w:t>
      </w:r>
    </w:p>
    <w:p>
      <w:pPr>
        <w:spacing w:after="120"/>
      </w:pPr>
      <w:r>
        <w:rPr>
          <w:sz w:val="22"/>
          <w:szCs w:val="22"/>
        </w:rPr>
        <w:t xml:space="preserve">The conceptual model describes the real-world things Vungu Rural District Council must manage when it runs spatial planning and related services. It uses ordinary language. It does not name Postgres tables yet. It is grounded in Zimbabwe practice under the Regional, Town and Country Planning Act [Chapter 29:12], the Rural District Councils Act [Chapter 29:13], the Public Health Act 2018, and the land survey / Surveyor-General chain.</w:t>
      </w:r>
    </w:p>
    <w:p>
      <w:pPr>
        <w:spacing w:after="120"/>
      </w:pPr>
      <w:r>
        <w:rPr>
          <w:sz w:val="22"/>
          <w:szCs w:val="22"/>
        </w:rPr>
        <w:t xml:space="preserve">SpartialIQ is the digital platform that holds these concepts so officers and citizens share one story. The conceptual model is the “what” before the “how we store it.”</w:t>
      </w:r>
    </w:p>
    <w:p>
      <w:pPr>
        <w:pStyle w:val="Heading1"/>
        <w:spacing w:after="140" w:before="320"/>
      </w:pPr>
      <w:r>
        <w:rPr>
          <w:b/>
          <w:bCs/>
          <w:color w:val="1E3A5F"/>
        </w:rPr>
        <w:t xml:space="preserve">2. Core business domains</w:t>
      </w:r>
    </w:p>
    <w:p>
      <w:pPr>
        <w:shd w:fill="F0FDFA" w:val="clear"/>
        <w:spacing w:after="0"/>
      </w:pPr>
      <w:r>
        <w:rPr>
          <w:rFonts w:ascii="Consolas" w:cs="Consolas" w:eastAsia="Consolas" w:hAnsi="Consolas"/>
          <w:sz w:val="15"/>
          <w:szCs w:val="15"/>
        </w:rPr>
        <w:t xml:space="preserve">  ┌─────────────── VUNGU RDC (Local Planning Authority) ───────────────┐</w:t>
      </w:r>
    </w:p>
    <w:p>
      <w:pPr>
        <w:shd w:fill="F0FDFA" w:val="clear"/>
        <w:spacing w:after="0"/>
      </w:pPr>
      <w:r>
        <w:rPr>
          <w:rFonts w:ascii="Consolas" w:cs="Consolas" w:eastAsia="Consolas" w:hAnsi="Consolas"/>
          <w:sz w:val="15"/>
          <w:szCs w:val="15"/>
        </w:rPr>
        <w:t xml:space="preserve">  │  Plan-making │ Development control │ Field compliance │ Assets/ops │</w:t>
      </w:r>
    </w:p>
    <w:p>
      <w:pPr>
        <w:shd w:fill="F0FDFA" w:val="clear"/>
        <w:spacing w:after="0"/>
      </w:pPr>
      <w:r>
        <w:rPr>
          <w:rFonts w:ascii="Consolas" w:cs="Consolas" w:eastAsia="Consolas" w:hAnsi="Consolas"/>
          <w:sz w:val="15"/>
          <w:szCs w:val="15"/>
        </w:rPr>
        <w:t xml:space="preserve">  │  Health      │ Citizen services    │ Survey liaison   │ ICT/admin  │</w:t>
      </w:r>
    </w:p>
    <w:p>
      <w:pPr>
        <w:shd w:fill="F0FDFA" w:val="clear"/>
        <w:spacing w:after="0"/>
      </w:pPr>
      <w:r>
        <w:rPr>
          <w:rFonts w:ascii="Consolas" w:cs="Consolas" w:eastAsia="Consolas" w:hAnsi="Consolas"/>
          <w:sz w:val="15"/>
          <w:szCs w:val="15"/>
        </w:rPr>
        <w:t xml:space="preserve">  └────────────────────────────────────────────────────────────────────┘</w:t>
      </w:r>
    </w:p>
    <w:p>
      <w:pPr>
        <w:shd w:fill="F0FDFA" w:val="clear"/>
        <w:spacing w:after="0"/>
      </w:pPr>
      <w:r>
        <w:rPr>
          <w:rFonts w:ascii="Consolas" w:cs="Consolas" w:eastAsia="Consolas" w:hAnsi="Consolas"/>
          <w:sz w:val="15"/>
          <w:szCs w:val="15"/>
        </w:rPr>
        <w:t xml:space="preserve">           ▲ people (roles)        ▲ land (parcels/stands/zones)</w:t>
      </w:r>
    </w:p>
    <w:p>
      <w:pPr>
        <w:shd w:fill="F0FDFA" w:val="clear"/>
        <w:spacing w:after="0"/>
      </w:pPr>
      <w:r>
        <w:rPr>
          <w:rFonts w:ascii="Consolas" w:cs="Consolas" w:eastAsia="Consolas" w:hAnsi="Consolas"/>
          <w:sz w:val="15"/>
          <w:szCs w:val="15"/>
        </w:rPr>
        <w:t xml:space="preserve">           ▲ decisions (permits)   ▲ evidence (docs/photos/maps)</w:t>
      </w:r>
    </w:p>
    <w:p>
      <w:pPr>
        <w:spacing w:after="60"/>
        <w:ind w:left="360"/>
      </w:pPr>
      <w:r>
        <w:rPr>
          <w:sz w:val="21"/>
          <w:szCs w:val="21"/>
        </w:rPr>
        <w:t xml:space="preserve">• Plan-making — master/local plans, themes, public participation.</w:t>
      </w:r>
    </w:p>
    <w:p>
      <w:pPr>
        <w:spacing w:after="60"/>
        <w:ind w:left="360"/>
      </w:pPr>
      <w:r>
        <w:rPr>
          <w:sz w:val="21"/>
          <w:szCs w:val="21"/>
        </w:rPr>
        <w:t xml:space="preserve">• Development control — applications, fees, letters, determination, appeals.</w:t>
      </w:r>
    </w:p>
    <w:p>
      <w:pPr>
        <w:spacing w:after="60"/>
        <w:ind w:left="360"/>
      </w:pPr>
      <w:r>
        <w:rPr>
          <w:sz w:val="21"/>
          <w:szCs w:val="21"/>
        </w:rPr>
        <w:t xml:space="preserve">• Field compliance — building stages, illegal building, health notices.</w:t>
      </w:r>
    </w:p>
    <w:p>
      <w:pPr>
        <w:spacing w:after="60"/>
        <w:ind w:left="360"/>
      </w:pPr>
      <w:r>
        <w:rPr>
          <w:sz w:val="21"/>
          <w:szCs w:val="21"/>
        </w:rPr>
        <w:t xml:space="preserve">• Council operations assets — roads, WASH, livestock facilities (when imported).</w:t>
      </w:r>
    </w:p>
    <w:p>
      <w:pPr>
        <w:spacing w:after="60"/>
        <w:ind w:left="360"/>
      </w:pPr>
      <w:r>
        <w:rPr>
          <w:sz w:val="21"/>
          <w:szCs w:val="21"/>
        </w:rPr>
        <w:t xml:space="preserve">• Citizen access — applications, payments, complaints, service tickets.</w:t>
      </w:r>
    </w:p>
    <w:p>
      <w:pPr>
        <w:pStyle w:val="Heading1"/>
        <w:spacing w:after="140" w:before="320"/>
      </w:pPr>
      <w:r>
        <w:rPr>
          <w:b/>
          <w:bCs/>
          <w:color w:val="1E3A5F"/>
        </w:rPr>
        <w:t xml:space="preserve">3. Conceptual entities (things)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E3A5F" w:val="clear"/>
            <w:tcMar>
              <w:top w:type="dxa" w:w="50"/>
              <w:left w:type="dxa" w:w="70"/>
              <w:bottom w:type="dxa" w:w="50"/>
              <w:right w:type="dxa" w:w="70"/>
            </w:tcMar>
          </w:tcPr>
          <w:p>
            <w:r>
              <w:rPr>
                <w:b/>
                <w:bCs/>
                <w:color w:val="FFFFFF"/>
                <w:sz w:val="17"/>
                <w:szCs w:val="17"/>
              </w:rPr>
              <w:t xml:space="preserve">Concept</w:t>
            </w:r>
          </w:p>
        </w:tc>
        <w:tc>
          <w:tcPr>
            <w:tcW w:type="dxa" w:w="4500"/>
            <w:shd w:fill="1E3A5F" w:val="clear"/>
            <w:tcMar>
              <w:top w:type="dxa" w:w="50"/>
              <w:left w:type="dxa" w:w="70"/>
              <w:bottom w:type="dxa" w:w="50"/>
              <w:right w:type="dxa" w:w="70"/>
            </w:tcMar>
          </w:tcPr>
          <w:p>
            <w:r>
              <w:rPr>
                <w:b/>
                <w:bCs/>
                <w:color w:val="FFFFFF"/>
                <w:sz w:val="17"/>
                <w:szCs w:val="17"/>
              </w:rPr>
              <w:t xml:space="preserve">Meaning in Zimbabwe RDC context</w:t>
            </w:r>
          </w:p>
        </w:tc>
      </w:tr>
      <w:tr>
        <w:tc>
          <w:tcPr>
            <w:tcW w:type="dxa" w:w="4500"/>
            <w:tcMar>
              <w:top w:type="dxa" w:w="50"/>
              <w:left w:type="dxa" w:w="70"/>
              <w:bottom w:type="dxa" w:w="50"/>
              <w:right w:type="dxa" w:w="70"/>
            </w:tcMar>
          </w:tcPr>
          <w:p>
            <w:r>
              <w:rPr>
                <w:b w:val="false"/>
                <w:bCs w:val="false"/>
                <w:color w:val="000000"/>
                <w:sz w:val="17"/>
                <w:szCs w:val="17"/>
              </w:rPr>
              <w:t xml:space="preserve">Person / Party</w:t>
            </w:r>
          </w:p>
        </w:tc>
        <w:tc>
          <w:tcPr>
            <w:tcW w:type="dxa" w:w="4500"/>
            <w:tcMar>
              <w:top w:type="dxa" w:w="50"/>
              <w:left w:type="dxa" w:w="70"/>
              <w:bottom w:type="dxa" w:w="50"/>
              <w:right w:type="dxa" w:w="70"/>
            </w:tcMar>
          </w:tcPr>
          <w:p>
            <w:r>
              <w:rPr>
                <w:b w:val="false"/>
                <w:bCs w:val="false"/>
                <w:color w:val="000000"/>
                <w:sz w:val="17"/>
                <w:szCs w:val="17"/>
              </w:rPr>
              <w:t xml:space="preserve">Citizen, applicant, staff officer, councillor</w:t>
            </w:r>
          </w:p>
        </w:tc>
      </w:tr>
      <w:tr>
        <w:tc>
          <w:tcPr>
            <w:tcW w:type="dxa" w:w="4500"/>
            <w:tcMar>
              <w:top w:type="dxa" w:w="50"/>
              <w:left w:type="dxa" w:w="70"/>
              <w:bottom w:type="dxa" w:w="50"/>
              <w:right w:type="dxa" w:w="70"/>
            </w:tcMar>
          </w:tcPr>
          <w:p>
            <w:r>
              <w:rPr>
                <w:b w:val="false"/>
                <w:bCs w:val="false"/>
                <w:color w:val="000000"/>
                <w:sz w:val="17"/>
                <w:szCs w:val="17"/>
              </w:rPr>
              <w:t xml:space="preserve">Role</w:t>
            </w:r>
          </w:p>
        </w:tc>
        <w:tc>
          <w:tcPr>
            <w:tcW w:type="dxa" w:w="4500"/>
            <w:tcMar>
              <w:top w:type="dxa" w:w="50"/>
              <w:left w:type="dxa" w:w="70"/>
              <w:bottom w:type="dxa" w:w="50"/>
              <w:right w:type="dxa" w:w="70"/>
            </w:tcMar>
          </w:tcPr>
          <w:p>
            <w:r>
              <w:rPr>
                <w:b w:val="false"/>
                <w:bCs w:val="false"/>
                <w:color w:val="000000"/>
                <w:sz w:val="17"/>
                <w:szCs w:val="17"/>
              </w:rPr>
              <w:t xml:space="preserve">Planner, EO, clerk, GIS, inspector, EHO, surveyor, admin</w:t>
            </w:r>
          </w:p>
        </w:tc>
      </w:tr>
      <w:tr>
        <w:tc>
          <w:tcPr>
            <w:tcW w:type="dxa" w:w="4500"/>
            <w:tcMar>
              <w:top w:type="dxa" w:w="50"/>
              <w:left w:type="dxa" w:w="70"/>
              <w:bottom w:type="dxa" w:w="50"/>
              <w:right w:type="dxa" w:w="70"/>
            </w:tcMar>
          </w:tcPr>
          <w:p>
            <w:r>
              <w:rPr>
                <w:b w:val="false"/>
                <w:bCs w:val="false"/>
                <w:color w:val="000000"/>
                <w:sz w:val="17"/>
                <w:szCs w:val="17"/>
              </w:rPr>
              <w:t xml:space="preserve">Land unit</w:t>
            </w:r>
          </w:p>
        </w:tc>
        <w:tc>
          <w:tcPr>
            <w:tcW w:type="dxa" w:w="4500"/>
            <w:tcMar>
              <w:top w:type="dxa" w:w="50"/>
              <w:left w:type="dxa" w:w="70"/>
              <w:bottom w:type="dxa" w:w="50"/>
              <w:right w:type="dxa" w:w="70"/>
            </w:tcMar>
          </w:tcPr>
          <w:p>
            <w:r>
              <w:rPr>
                <w:b w:val="false"/>
                <w:bCs w:val="false"/>
                <w:color w:val="000000"/>
                <w:sz w:val="17"/>
                <w:szCs w:val="17"/>
              </w:rPr>
              <w:t xml:space="preserve">Parcel, farm, stand, ward — place being regulated</w:t>
            </w:r>
          </w:p>
        </w:tc>
      </w:tr>
      <w:tr>
        <w:tc>
          <w:tcPr>
            <w:tcW w:type="dxa" w:w="4500"/>
            <w:tcMar>
              <w:top w:type="dxa" w:w="50"/>
              <w:left w:type="dxa" w:w="70"/>
              <w:bottom w:type="dxa" w:w="50"/>
              <w:right w:type="dxa" w:w="70"/>
            </w:tcMar>
          </w:tcPr>
          <w:p>
            <w:r>
              <w:rPr>
                <w:b w:val="false"/>
                <w:bCs w:val="false"/>
                <w:color w:val="000000"/>
                <w:sz w:val="17"/>
                <w:szCs w:val="17"/>
              </w:rPr>
              <w:t xml:space="preserve">Zone / land use</w:t>
            </w:r>
          </w:p>
        </w:tc>
        <w:tc>
          <w:tcPr>
            <w:tcW w:type="dxa" w:w="4500"/>
            <w:tcMar>
              <w:top w:type="dxa" w:w="50"/>
              <w:left w:type="dxa" w:w="70"/>
              <w:bottom w:type="dxa" w:w="50"/>
              <w:right w:type="dxa" w:w="70"/>
            </w:tcMar>
          </w:tcPr>
          <w:p>
            <w:r>
              <w:rPr>
                <w:b w:val="false"/>
                <w:bCs w:val="false"/>
                <w:color w:val="000000"/>
                <w:sz w:val="17"/>
                <w:szCs w:val="17"/>
              </w:rPr>
              <w:t xml:space="preserve">Permitted pattern of use under plan / RTCP</w:t>
            </w:r>
          </w:p>
        </w:tc>
      </w:tr>
      <w:tr>
        <w:tc>
          <w:tcPr>
            <w:tcW w:type="dxa" w:w="4500"/>
            <w:tcMar>
              <w:top w:type="dxa" w:w="50"/>
              <w:left w:type="dxa" w:w="70"/>
              <w:bottom w:type="dxa" w:w="50"/>
              <w:right w:type="dxa" w:w="70"/>
            </w:tcMar>
          </w:tcPr>
          <w:p>
            <w:r>
              <w:rPr>
                <w:b w:val="false"/>
                <w:bCs w:val="false"/>
                <w:color w:val="000000"/>
                <w:sz w:val="17"/>
                <w:szCs w:val="17"/>
              </w:rPr>
              <w:t xml:space="preserve">Development application</w:t>
            </w:r>
          </w:p>
        </w:tc>
        <w:tc>
          <w:tcPr>
            <w:tcW w:type="dxa" w:w="4500"/>
            <w:tcMar>
              <w:top w:type="dxa" w:w="50"/>
              <w:left w:type="dxa" w:w="70"/>
              <w:bottom w:type="dxa" w:w="50"/>
              <w:right w:type="dxa" w:w="70"/>
            </w:tcMar>
          </w:tcPr>
          <w:p>
            <w:r>
              <w:rPr>
                <w:b w:val="false"/>
                <w:bCs w:val="false"/>
                <w:color w:val="000000"/>
                <w:sz w:val="17"/>
                <w:szCs w:val="17"/>
              </w:rPr>
              <w:t xml:space="preserve">Request for permit / subdivision / change of use</w:t>
            </w:r>
          </w:p>
        </w:tc>
      </w:tr>
      <w:tr>
        <w:tc>
          <w:tcPr>
            <w:tcW w:type="dxa" w:w="4500"/>
            <w:tcMar>
              <w:top w:type="dxa" w:w="50"/>
              <w:left w:type="dxa" w:w="70"/>
              <w:bottom w:type="dxa" w:w="50"/>
              <w:right w:type="dxa" w:w="70"/>
            </w:tcMar>
          </w:tcPr>
          <w:p>
            <w:r>
              <w:rPr>
                <w:b w:val="false"/>
                <w:bCs w:val="false"/>
                <w:color w:val="000000"/>
                <w:sz w:val="17"/>
                <w:szCs w:val="17"/>
              </w:rPr>
              <w:t xml:space="preserve">Determination</w:t>
            </w:r>
          </w:p>
        </w:tc>
        <w:tc>
          <w:tcPr>
            <w:tcW w:type="dxa" w:w="4500"/>
            <w:tcMar>
              <w:top w:type="dxa" w:w="50"/>
              <w:left w:type="dxa" w:w="70"/>
              <w:bottom w:type="dxa" w:w="50"/>
              <w:right w:type="dxa" w:w="70"/>
            </w:tcMar>
          </w:tcPr>
          <w:p>
            <w:r>
              <w:rPr>
                <w:b w:val="false"/>
                <w:bCs w:val="false"/>
                <w:color w:val="000000"/>
                <w:sz w:val="17"/>
                <w:szCs w:val="17"/>
              </w:rPr>
              <w:t xml:space="preserve">Approve / conditional / refuse by lawful decision-maker</w:t>
            </w:r>
          </w:p>
        </w:tc>
      </w:tr>
      <w:tr>
        <w:tc>
          <w:tcPr>
            <w:tcW w:type="dxa" w:w="4500"/>
            <w:tcMar>
              <w:top w:type="dxa" w:w="50"/>
              <w:left w:type="dxa" w:w="70"/>
              <w:bottom w:type="dxa" w:w="50"/>
              <w:right w:type="dxa" w:w="70"/>
            </w:tcMar>
          </w:tcPr>
          <w:p>
            <w:r>
              <w:rPr>
                <w:b w:val="false"/>
                <w:bCs w:val="false"/>
                <w:color w:val="000000"/>
                <w:sz w:val="17"/>
                <w:szCs w:val="17"/>
              </w:rPr>
              <w:t xml:space="preserve">Condition</w:t>
            </w:r>
          </w:p>
        </w:tc>
        <w:tc>
          <w:tcPr>
            <w:tcW w:type="dxa" w:w="4500"/>
            <w:tcMar>
              <w:top w:type="dxa" w:w="50"/>
              <w:left w:type="dxa" w:w="70"/>
              <w:bottom w:type="dxa" w:w="50"/>
              <w:right w:type="dxa" w:w="70"/>
            </w:tcMar>
          </w:tcPr>
          <w:p>
            <w:r>
              <w:rPr>
                <w:b w:val="false"/>
                <w:bCs w:val="false"/>
                <w:color w:val="000000"/>
                <w:sz w:val="17"/>
                <w:szCs w:val="17"/>
              </w:rPr>
              <w:t xml:space="preserve">Binding requirement attached to approval</w:t>
            </w:r>
          </w:p>
        </w:tc>
      </w:tr>
      <w:tr>
        <w:tc>
          <w:tcPr>
            <w:tcW w:type="dxa" w:w="4500"/>
            <w:tcMar>
              <w:top w:type="dxa" w:w="50"/>
              <w:left w:type="dxa" w:w="70"/>
              <w:bottom w:type="dxa" w:w="50"/>
              <w:right w:type="dxa" w:w="70"/>
            </w:tcMar>
          </w:tcPr>
          <w:p>
            <w:r>
              <w:rPr>
                <w:b w:val="false"/>
                <w:bCs w:val="false"/>
                <w:color w:val="000000"/>
                <w:sz w:val="17"/>
                <w:szCs w:val="17"/>
              </w:rPr>
              <w:t xml:space="preserve">Fee / receipt</w:t>
            </w:r>
          </w:p>
        </w:tc>
        <w:tc>
          <w:tcPr>
            <w:tcW w:type="dxa" w:w="4500"/>
            <w:tcMar>
              <w:top w:type="dxa" w:w="50"/>
              <w:left w:type="dxa" w:w="70"/>
              <w:bottom w:type="dxa" w:w="50"/>
              <w:right w:type="dxa" w:w="70"/>
            </w:tcMar>
          </w:tcPr>
          <w:p>
            <w:r>
              <w:rPr>
                <w:b w:val="false"/>
                <w:bCs w:val="false"/>
                <w:color w:val="000000"/>
                <w:sz w:val="17"/>
                <w:szCs w:val="17"/>
              </w:rPr>
              <w:t xml:space="preserve">Money logged for a planning or council service</w:t>
            </w:r>
          </w:p>
        </w:tc>
      </w:tr>
      <w:tr>
        <w:tc>
          <w:tcPr>
            <w:tcW w:type="dxa" w:w="4500"/>
            <w:tcMar>
              <w:top w:type="dxa" w:w="50"/>
              <w:left w:type="dxa" w:w="70"/>
              <w:bottom w:type="dxa" w:w="50"/>
              <w:right w:type="dxa" w:w="70"/>
            </w:tcMar>
          </w:tcPr>
          <w:p>
            <w:r>
              <w:rPr>
                <w:b w:val="false"/>
                <w:bCs w:val="false"/>
                <w:color w:val="000000"/>
                <w:sz w:val="17"/>
                <w:szCs w:val="17"/>
              </w:rPr>
              <w:t xml:space="preserve">Notice / letter</w:t>
            </w:r>
          </w:p>
        </w:tc>
        <w:tc>
          <w:tcPr>
            <w:tcW w:type="dxa" w:w="4500"/>
            <w:tcMar>
              <w:top w:type="dxa" w:w="50"/>
              <w:left w:type="dxa" w:w="70"/>
              <w:bottom w:type="dxa" w:w="50"/>
              <w:right w:type="dxa" w:w="70"/>
            </w:tcMar>
          </w:tcPr>
          <w:p>
            <w:r>
              <w:rPr>
                <w:b w:val="false"/>
                <w:bCs w:val="false"/>
                <w:color w:val="000000"/>
                <w:sz w:val="17"/>
                <w:szCs w:val="17"/>
              </w:rPr>
              <w:t xml:space="preserve">Ack, refusal, public notice, health notice, enforcement</w:t>
            </w:r>
          </w:p>
        </w:tc>
      </w:tr>
      <w:tr>
        <w:tc>
          <w:tcPr>
            <w:tcW w:type="dxa" w:w="4500"/>
            <w:tcMar>
              <w:top w:type="dxa" w:w="50"/>
              <w:left w:type="dxa" w:w="70"/>
              <w:bottom w:type="dxa" w:w="50"/>
              <w:right w:type="dxa" w:w="70"/>
            </w:tcMar>
          </w:tcPr>
          <w:p>
            <w:r>
              <w:rPr>
                <w:b w:val="false"/>
                <w:bCs w:val="false"/>
                <w:color w:val="000000"/>
                <w:sz w:val="17"/>
                <w:szCs w:val="17"/>
              </w:rPr>
              <w:t xml:space="preserve">Inspection</w:t>
            </w:r>
          </w:p>
        </w:tc>
        <w:tc>
          <w:tcPr>
            <w:tcW w:type="dxa" w:w="4500"/>
            <w:tcMar>
              <w:top w:type="dxa" w:w="50"/>
              <w:left w:type="dxa" w:w="70"/>
              <w:bottom w:type="dxa" w:w="50"/>
              <w:right w:type="dxa" w:w="70"/>
            </w:tcMar>
          </w:tcPr>
          <w:p>
            <w:r>
              <w:rPr>
                <w:b w:val="false"/>
                <w:bCs w:val="false"/>
                <w:color w:val="000000"/>
                <w:sz w:val="17"/>
                <w:szCs w:val="17"/>
              </w:rPr>
              <w:t xml:space="preserve">Building stage or EHO premises visit with verdict</w:t>
            </w:r>
          </w:p>
        </w:tc>
      </w:tr>
      <w:tr>
        <w:tc>
          <w:tcPr>
            <w:tcW w:type="dxa" w:w="4500"/>
            <w:tcMar>
              <w:top w:type="dxa" w:w="50"/>
              <w:left w:type="dxa" w:w="70"/>
              <w:bottom w:type="dxa" w:w="50"/>
              <w:right w:type="dxa" w:w="70"/>
            </w:tcMar>
          </w:tcPr>
          <w:p>
            <w:r>
              <w:rPr>
                <w:b w:val="false"/>
                <w:bCs w:val="false"/>
                <w:color w:val="000000"/>
                <w:sz w:val="17"/>
                <w:szCs w:val="17"/>
              </w:rPr>
              <w:t xml:space="preserve">Complaint / ticket</w:t>
            </w:r>
          </w:p>
        </w:tc>
        <w:tc>
          <w:tcPr>
            <w:tcW w:type="dxa" w:w="4500"/>
            <w:tcMar>
              <w:top w:type="dxa" w:w="50"/>
              <w:left w:type="dxa" w:w="70"/>
              <w:bottom w:type="dxa" w:w="50"/>
              <w:right w:type="dxa" w:w="70"/>
            </w:tcMar>
          </w:tcPr>
          <w:p>
            <w:r>
              <w:rPr>
                <w:b w:val="false"/>
                <w:bCs w:val="false"/>
                <w:color w:val="000000"/>
                <w:sz w:val="17"/>
                <w:szCs w:val="17"/>
              </w:rPr>
              <w:t xml:space="preserve">Citizen report (illegal building, nuisance, roads, …)</w:t>
            </w:r>
          </w:p>
        </w:tc>
      </w:tr>
      <w:tr>
        <w:tc>
          <w:tcPr>
            <w:tcW w:type="dxa" w:w="4500"/>
            <w:tcMar>
              <w:top w:type="dxa" w:w="50"/>
              <w:left w:type="dxa" w:w="70"/>
              <w:bottom w:type="dxa" w:w="50"/>
              <w:right w:type="dxa" w:w="70"/>
            </w:tcMar>
          </w:tcPr>
          <w:p>
            <w:r>
              <w:rPr>
                <w:b w:val="false"/>
                <w:bCs w:val="false"/>
                <w:color w:val="000000"/>
                <w:sz w:val="17"/>
                <w:szCs w:val="17"/>
              </w:rPr>
              <w:t xml:space="preserve">Spatial layer</w:t>
            </w:r>
          </w:p>
        </w:tc>
        <w:tc>
          <w:tcPr>
            <w:tcW w:type="dxa" w:w="4500"/>
            <w:tcMar>
              <w:top w:type="dxa" w:w="50"/>
              <w:left w:type="dxa" w:w="70"/>
              <w:bottom w:type="dxa" w:w="50"/>
              <w:right w:type="dxa" w:w="70"/>
            </w:tcMar>
          </w:tcPr>
          <w:p>
            <w:r>
              <w:rPr>
                <w:b w:val="false"/>
                <w:bCs w:val="false"/>
                <w:color w:val="000000"/>
                <w:sz w:val="17"/>
                <w:szCs w:val="17"/>
              </w:rPr>
              <w:t xml:space="preserve">Map theme backed by authoritative geometry</w:t>
            </w:r>
          </w:p>
        </w:tc>
      </w:tr>
      <w:tr>
        <w:tc>
          <w:tcPr>
            <w:tcW w:type="dxa" w:w="4500"/>
            <w:tcMar>
              <w:top w:type="dxa" w:w="50"/>
              <w:left w:type="dxa" w:w="70"/>
              <w:bottom w:type="dxa" w:w="50"/>
              <w:right w:type="dxa" w:w="70"/>
            </w:tcMar>
          </w:tcPr>
          <w:p>
            <w:r>
              <w:rPr>
                <w:b w:val="false"/>
                <w:bCs w:val="false"/>
                <w:color w:val="000000"/>
                <w:sz w:val="17"/>
                <w:szCs w:val="17"/>
              </w:rPr>
              <w:t xml:space="preserve">Survey job</w:t>
            </w:r>
          </w:p>
        </w:tc>
        <w:tc>
          <w:tcPr>
            <w:tcW w:type="dxa" w:w="4500"/>
            <w:tcMar>
              <w:top w:type="dxa" w:w="50"/>
              <w:left w:type="dxa" w:w="70"/>
              <w:bottom w:type="dxa" w:w="50"/>
              <w:right w:type="dxa" w:w="70"/>
            </w:tcMar>
          </w:tcPr>
          <w:p>
            <w:r>
              <w:rPr>
                <w:b w:val="false"/>
                <w:bCs w:val="false"/>
                <w:color w:val="000000"/>
                <w:sz w:val="17"/>
                <w:szCs w:val="17"/>
              </w:rPr>
              <w:t xml:space="preserve">Licensed survey task linked to council need</w:t>
            </w:r>
          </w:p>
        </w:tc>
      </w:tr>
      <w:tr>
        <w:tc>
          <w:tcPr>
            <w:tcW w:type="dxa" w:w="4500"/>
            <w:tcMar>
              <w:top w:type="dxa" w:w="50"/>
              <w:left w:type="dxa" w:w="70"/>
              <w:bottom w:type="dxa" w:w="50"/>
              <w:right w:type="dxa" w:w="70"/>
            </w:tcMar>
          </w:tcPr>
          <w:p>
            <w:r>
              <w:rPr>
                <w:b w:val="false"/>
                <w:bCs w:val="false"/>
                <w:color w:val="000000"/>
                <w:sz w:val="17"/>
                <w:szCs w:val="17"/>
              </w:rPr>
              <w:t xml:space="preserve">Evidence artefact</w:t>
            </w:r>
          </w:p>
        </w:tc>
        <w:tc>
          <w:tcPr>
            <w:tcW w:type="dxa" w:w="4500"/>
            <w:tcMar>
              <w:top w:type="dxa" w:w="50"/>
              <w:left w:type="dxa" w:w="70"/>
              <w:bottom w:type="dxa" w:w="50"/>
              <w:right w:type="dxa" w:w="70"/>
            </w:tcMar>
          </w:tcPr>
          <w:p>
            <w:r>
              <w:rPr>
                <w:b w:val="false"/>
                <w:bCs w:val="false"/>
                <w:color w:val="000000"/>
                <w:sz w:val="17"/>
                <w:szCs w:val="17"/>
              </w:rPr>
              <w:t xml:space="preserve">PDF, photo, certificate, uploaded plan</w:t>
            </w:r>
          </w:p>
        </w:tc>
      </w:tr>
    </w:tbl>
    <w:p>
      <w:pPr>
        <w:pStyle w:val="Heading1"/>
        <w:spacing w:after="140" w:before="320"/>
      </w:pPr>
      <w:r>
        <w:rPr>
          <w:b/>
          <w:bCs/>
          <w:color w:val="1E3A5F"/>
        </w:rPr>
        <w:t xml:space="preserve">4. Conceptual relationships</w:t>
      </w:r>
    </w:p>
    <w:p>
      <w:pPr>
        <w:shd w:fill="F0FDFA" w:val="clear"/>
        <w:spacing w:after="0"/>
      </w:pPr>
      <w:r>
        <w:rPr>
          <w:rFonts w:ascii="Consolas" w:cs="Consolas" w:eastAsia="Consolas" w:hAnsi="Consolas"/>
          <w:sz w:val="15"/>
          <w:szCs w:val="15"/>
        </w:rPr>
        <w:t xml:space="preserve">  Person ──plays──► Role</w:t>
      </w:r>
    </w:p>
    <w:p>
      <w:pPr>
        <w:shd w:fill="F0FDFA" w:val="clear"/>
        <w:spacing w:after="0"/>
      </w:pPr>
      <w:r>
        <w:rPr>
          <w:rFonts w:ascii="Consolas" w:cs="Consolas" w:eastAsia="Consolas" w:hAnsi="Consolas"/>
          <w:sz w:val="15"/>
          <w:szCs w:val="15"/>
        </w:rPr>
        <w:t xml:space="preserve">  Person ──lodges──► Application ──about──► Land unit ──in──► Zone / Ward</w:t>
      </w:r>
    </w:p>
    <w:p>
      <w:pPr>
        <w:shd w:fill="F0FDFA" w:val="clear"/>
        <w:spacing w:after="0"/>
      </w:pPr>
      <w:r>
        <w:rPr>
          <w:rFonts w:ascii="Consolas" w:cs="Consolas" w:eastAsia="Consolas" w:hAnsi="Consolas"/>
          <w:sz w:val="15"/>
          <w:szCs w:val="15"/>
        </w:rPr>
        <w:t xml:space="preserve">  Application ──has──► Fees, Documents, Letters, Referrals, Conditions</w:t>
      </w:r>
    </w:p>
    <w:p>
      <w:pPr>
        <w:shd w:fill="F0FDFA" w:val="clear"/>
        <w:spacing w:after="0"/>
      </w:pPr>
      <w:r>
        <w:rPr>
          <w:rFonts w:ascii="Consolas" w:cs="Consolas" w:eastAsia="Consolas" w:hAnsi="Consolas"/>
          <w:sz w:val="15"/>
          <w:szCs w:val="15"/>
        </w:rPr>
        <w:t xml:space="preserve">  Application ──awaits──► Determination (EO / committee per resolution)</w:t>
      </w:r>
    </w:p>
    <w:p>
      <w:pPr>
        <w:shd w:fill="F0FDFA" w:val="clear"/>
        <w:spacing w:after="0"/>
      </w:pPr>
      <w:r>
        <w:rPr>
          <w:rFonts w:ascii="Consolas" w:cs="Consolas" w:eastAsia="Consolas" w:hAnsi="Consolas"/>
          <w:sz w:val="15"/>
          <w:szCs w:val="15"/>
        </w:rPr>
        <w:t xml:space="preserve">  Determination ──may unlock──► Permit dispatch / Refusal letter</w:t>
      </w:r>
    </w:p>
    <w:p>
      <w:pPr>
        <w:shd w:fill="F0FDFA" w:val="clear"/>
        <w:spacing w:after="0"/>
      </w:pPr>
      <w:r>
        <w:rPr>
          <w:rFonts w:ascii="Consolas" w:cs="Consolas" w:eastAsia="Consolas" w:hAnsi="Consolas"/>
          <w:sz w:val="15"/>
          <w:szCs w:val="15"/>
        </w:rPr>
        <w:t xml:space="preserve">  Application ──may require──► Inspections (building / health)</w:t>
      </w:r>
    </w:p>
    <w:p>
      <w:pPr>
        <w:shd w:fill="F0FDFA" w:val="clear"/>
        <w:spacing w:after="0"/>
      </w:pPr>
      <w:r>
        <w:rPr>
          <w:rFonts w:ascii="Consolas" w:cs="Consolas" w:eastAsia="Consolas" w:hAnsi="Consolas"/>
          <w:sz w:val="15"/>
          <w:szCs w:val="15"/>
        </w:rPr>
        <w:t xml:space="preserve">  Land unit ──may need──► Survey job ──feeds──► Surveyor-General / Deeds (external)</w:t>
      </w:r>
    </w:p>
    <w:p>
      <w:pPr>
        <w:shd w:fill="F0FDFA" w:val="clear"/>
        <w:spacing w:after="0"/>
      </w:pPr>
      <w:r>
        <w:rPr>
          <w:rFonts w:ascii="Consolas" w:cs="Consolas" w:eastAsia="Consolas" w:hAnsi="Consolas"/>
          <w:sz w:val="15"/>
          <w:szCs w:val="15"/>
        </w:rPr>
        <w:t xml:space="preserve">  Complaint/Ticket ──triggers──► Inspector or EHO work</w:t>
      </w:r>
    </w:p>
    <w:p>
      <w:pPr>
        <w:shd w:fill="F0FDFA" w:val="clear"/>
        <w:spacing w:after="0"/>
      </w:pPr>
      <w:r>
        <w:rPr>
          <w:rFonts w:ascii="Consolas" w:cs="Consolas" w:eastAsia="Consolas" w:hAnsi="Consolas"/>
          <w:sz w:val="15"/>
          <w:szCs w:val="15"/>
        </w:rPr>
        <w:t xml:space="preserve">  Spatial layer ──describes──► Land / assets (SSOT, not OSM-as-cadastre)</w:t>
      </w:r>
    </w:p>
    <w:p>
      <w:pPr>
        <w:pStyle w:val="Heading1"/>
        <w:spacing w:after="140" w:before="320"/>
      </w:pPr>
      <w:r>
        <w:rPr>
          <w:b/>
          <w:bCs/>
          <w:color w:val="1E3A5F"/>
        </w:rPr>
        <w:t xml:space="preserve">5. Conceptual rules (business invariants)</w:t>
      </w:r>
    </w:p>
    <w:p>
      <w:pPr>
        <w:spacing w:after="60"/>
        <w:ind w:left="360"/>
      </w:pPr>
      <w:r>
        <w:rPr>
          <w:sz w:val="21"/>
          <w:szCs w:val="21"/>
        </w:rPr>
        <w:t xml:space="preserve">• No development determination without a registered application story.</w:t>
      </w:r>
    </w:p>
    <w:p>
      <w:pPr>
        <w:spacing w:after="60"/>
        <w:ind w:left="360"/>
      </w:pPr>
      <w:r>
        <w:rPr>
          <w:sz w:val="21"/>
          <w:szCs w:val="21"/>
        </w:rPr>
        <w:t xml:space="preserve">• Assessor (planner) is not automatically the final approver (EO gate / delegation).</w:t>
      </w:r>
    </w:p>
    <w:p>
      <w:pPr>
        <w:spacing w:after="60"/>
        <w:ind w:left="360"/>
      </w:pPr>
      <w:r>
        <w:rPr>
          <w:sz w:val="21"/>
          <w:szCs w:val="21"/>
        </w:rPr>
        <w:t xml:space="preserve">• Map geometry used for decisions must be council-authoritative or clearly labelled reference.</w:t>
      </w:r>
    </w:p>
    <w:p>
      <w:pPr>
        <w:spacing w:after="60"/>
        <w:ind w:left="360"/>
      </w:pPr>
      <w:r>
        <w:rPr>
          <w:sz w:val="21"/>
          <w:szCs w:val="21"/>
        </w:rPr>
        <w:t xml:space="preserve">• Health licences and planning permits are different decisions (Public Health Act vs RTCP).</w:t>
      </w:r>
    </w:p>
    <w:p>
      <w:pPr>
        <w:spacing w:after="60"/>
        <w:ind w:left="360"/>
      </w:pPr>
      <w:r>
        <w:rPr>
          <w:sz w:val="21"/>
          <w:szCs w:val="21"/>
        </w:rPr>
        <w:t xml:space="preserve">• Cadastral registration remains Surveyor-General + Deeds; council systems prepare and record, they do not replace those offices.</w:t>
      </w:r>
    </w:p>
    <w:p>
      <w:pPr>
        <w:spacing w:after="60"/>
        <w:ind w:left="360"/>
      </w:pPr>
      <w:r>
        <w:rPr>
          <w:sz w:val="21"/>
          <w:szCs w:val="21"/>
        </w:rPr>
        <w:t xml:space="preserve">• Empty operational registers are honest until Council imports data.</w:t>
      </w:r>
    </w:p>
    <w:p>
      <w:pPr>
        <w:pStyle w:val="Heading1"/>
        <w:spacing w:after="140" w:before="320"/>
      </w:pPr>
      <w:r>
        <w:rPr>
          <w:b/>
          <w:bCs/>
          <w:color w:val="1E3A5F"/>
        </w:rPr>
        <w:t xml:space="preserve">6. Actors on the conceptual stage</w:t>
      </w:r>
    </w:p>
    <w:p>
      <w:pPr>
        <w:spacing w:after="120"/>
      </w:pPr>
      <w:r>
        <w:rPr>
          <w:sz w:val="22"/>
          <w:szCs w:val="22"/>
        </w:rPr>
        <w:t xml:space="preserve">Citizens ask and track. Clerks remember and post. Planners assess. EOs determine. GIS keeps spatial truth. Inspectors prove buildings. EHOs protect health. Surveyors measure for the law. Admin keeps the platform safe. Committees set policy the software must respect.</w:t>
      </w:r>
    </w:p>
    <w:p>
      <w:pPr>
        <w:spacing w:after="60"/>
      </w:pPr>
    </w:p>
    <w:p>
      <w:pPr>
        <w:spacing w:after="120"/>
      </w:pPr>
      <w:r>
        <w:rPr>
          <w:sz w:val="22"/>
          <w:szCs w:val="22"/>
        </w:rPr>
        <w:t xml:space="preserve">End of conceptual model.</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5"/>
        <w:szCs w:val="15"/>
      </w:rPr>
      <w:t xml:space="preserve">Page </w:t>
    </w:r>
    <w:r>
      <w:rPr>
        <w:color w:val="64748B"/>
        <w:sz w:val="15"/>
        <w:szCs w:val="15"/>
      </w:rPr>
      <w:fldChar w:fldCharType="begin"/>
      <w:instrText xml:space="preserve">PAGE</w:instrText>
      <w:fldChar w:fldCharType="separate"/>
      <w:fldChar w:fldCharType="end"/>
    </w:r>
    <w:r>
      <w:rPr>
        <w:color w:val="64748B"/>
        <w:sz w:val="15"/>
        <w:szCs w:val="15"/>
      </w:rPr>
      <w:t xml:space="preserve"> / </w:t>
    </w:r>
    <w:r>
      <w:rPr>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4748B"/>
        <w:sz w:val="15"/>
        <w:szCs w:val="15"/>
      </w:rPr>
      <w:t xml:space="preserve">Vungu RDC · Conceptual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Model</dc:title>
  <dc:creator>SpartialIQ</dc:creator>
  <cp:lastModifiedBy>Un-named</cp:lastModifiedBy>
  <cp:revision>1</cp:revision>
  <dcterms:created xsi:type="dcterms:W3CDTF">2026-09-23T13:57:03.933Z</dcterms:created>
  <dcterms:modified xsi:type="dcterms:W3CDTF">2026-09-23T13:57:03.933Z</dcterms:modified>
</cp:coreProperties>
</file>

<file path=docProps/custom.xml><?xml version="1.0" encoding="utf-8"?>
<Properties xmlns="http://schemas.openxmlformats.org/officeDocument/2006/custom-properties" xmlns:vt="http://schemas.openxmlformats.org/officeDocument/2006/docPropsVTypes"/>
</file>