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E3A5F"/>
          <w:sz w:val="28"/>
          <w:szCs w:val="28"/>
        </w:rPr>
        <w:t xml:space="preserve">Vungu Rural District Council · SpartialIQ</w:t>
      </w:r>
    </w:p>
    <w:p>
      <w:pPr>
        <w:spacing w:after="80"/>
        <w:jc w:val="center"/>
      </w:pPr>
      <w:r>
        <w:rPr>
          <w:b/>
          <w:bCs/>
          <w:sz w:val="36"/>
          <w:szCs w:val="36"/>
        </w:rPr>
        <w:t xml:space="preserve">3 — Physical Model</w:t>
      </w:r>
    </w:p>
    <w:p>
      <w:pPr>
        <w:spacing w:after="200"/>
        <w:jc w:val="center"/>
      </w:pPr>
      <w:r>
        <w:rPr>
          <w:i/>
          <w:iCs/>
          <w:color w:val="64748B"/>
          <w:sz w:val="20"/>
          <w:szCs w:val="20"/>
        </w:rPr>
        <w:t xml:space="preserve">PostgreSQL + PostGIS implementation as built</w:t>
      </w:r>
    </w:p>
    <w:p>
      <w:pPr>
        <w:spacing w:after="120"/>
      </w:pPr>
      <w:r>
        <w:rPr>
          <w:sz w:val="22"/>
          <w:szCs w:val="22"/>
        </w:rPr>
        <w:t xml:space="preserve">Date: 23 September 2026. Companion docs: Zimbabwe Role Expectations; Council Operations Flows Manual; Supervisor Review Rectification.</w:t>
      </w:r>
    </w:p>
    <w:p>
      <w:pPr>
        <w:spacing w:after="60"/>
      </w:pPr>
    </w:p>
    <w:p>
      <w:pPr>
        <w:pStyle w:val="Heading1"/>
        <w:spacing w:after="140" w:before="320"/>
      </w:pPr>
      <w:r>
        <w:rPr>
          <w:b/>
          <w:bCs/>
          <w:color w:val="1E3A5F"/>
        </w:rPr>
        <w:t xml:space="preserve">1. Purpose</w:t>
      </w:r>
    </w:p>
    <w:p>
      <w:pPr>
        <w:spacing w:after="120"/>
      </w:pPr>
      <w:r>
        <w:rPr>
          <w:sz w:val="22"/>
          <w:szCs w:val="22"/>
        </w:rPr>
        <w:t xml:space="preserve">The physical model is how logical entities are stored in PostgreSQL/PostGIS on Vungu’s stack: schemas, tables, views, indexes, migrations, and runtime probes.</w:t>
      </w:r>
    </w:p>
    <w:p>
      <w:pPr>
        <w:pStyle w:val="Heading1"/>
        <w:spacing w:after="140" w:before="320"/>
      </w:pPr>
      <w:r>
        <w:rPr>
          <w:b/>
          <w:bCs/>
          <w:color w:val="1E3A5F"/>
        </w:rPr>
        <w:t xml:space="preserve">2. Platform</w:t>
      </w:r>
    </w:p>
    <w:p>
      <w:pPr>
        <w:spacing w:after="60"/>
        <w:ind w:left="360"/>
      </w:pPr>
      <w:r>
        <w:rPr>
          <w:sz w:val="21"/>
          <w:szCs w:val="21"/>
        </w:rPr>
        <w:t xml:space="preserve">• DBMS: PostgreSQL with PostGIS</w:t>
      </w:r>
    </w:p>
    <w:p>
      <w:pPr>
        <w:spacing w:after="60"/>
        <w:ind w:left="360"/>
      </w:pPr>
      <w:r>
        <w:rPr>
          <w:sz w:val="21"/>
          <w:szCs w:val="21"/>
        </w:rPr>
        <w:t xml:space="preserve">• App DB name (local): vungu_master_db_v1</w:t>
      </w:r>
    </w:p>
    <w:p>
      <w:pPr>
        <w:spacing w:after="60"/>
        <w:ind w:left="360"/>
      </w:pPr>
      <w:r>
        <w:rPr>
          <w:sz w:val="21"/>
          <w:szCs w:val="21"/>
        </w:rPr>
        <w:t xml:space="preserve">• API: Fastify on :3000; readiness GET /ready</w:t>
      </w:r>
    </w:p>
    <w:p>
      <w:pPr>
        <w:spacing w:after="60"/>
        <w:ind w:left="360"/>
      </w:pPr>
      <w:r>
        <w:rPr>
          <w:sz w:val="21"/>
          <w:szCs w:val="21"/>
        </w:rPr>
        <w:t xml:space="preserve">• Migrations: ordered allowlist in scripts/migrate-render.js (through 128)</w:t>
      </w:r>
    </w:p>
    <w:p>
      <w:pPr>
        <w:spacing w:after="60"/>
        <w:ind w:left="360"/>
      </w:pPr>
      <w:r>
        <w:rPr>
          <w:sz w:val="21"/>
          <w:szCs w:val="21"/>
        </w:rPr>
        <w:t xml:space="preserve">• Tiles: MVT via ST_AsMVT / ST_TileEnvelope; GiST indexes; SRID 4326 storage</w:t>
      </w:r>
    </w:p>
    <w:p>
      <w:pPr>
        <w:pStyle w:val="Heading1"/>
        <w:spacing w:after="140" w:before="320"/>
      </w:pPr>
      <w:r>
        <w:rPr>
          <w:b/>
          <w:bCs/>
          <w:color w:val="1E3A5F"/>
        </w:rPr>
        <w:t xml:space="preserve">3. Physical schemas &amp; major objects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1E3A5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Schema / area</w:t>
            </w:r>
          </w:p>
        </w:tc>
        <w:tc>
          <w:tcPr>
            <w:tcW w:type="dxa" w:w="4500"/>
            <w:shd w:fill="1E3A5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Examples</w:t>
            </w:r>
          </w:p>
        </w:tc>
      </w:tr>
      <w:tr>
        <w:tc>
          <w:tcPr>
            <w:tcW w:type="dxa" w:w="45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public</w:t>
            </w:r>
          </w:p>
        </w:tc>
        <w:tc>
          <w:tcPr>
            <w:tcW w:type="dxa" w:w="45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users, user_profiles, stands, wards, proposed_peri_urban_zones, zones_master, v_stands, ref_*</w:t>
            </w:r>
          </w:p>
        </w:tc>
      </w:tr>
      <w:tr>
        <w:tc>
          <w:tcPr>
            <w:tcW w:type="dxa" w:w="45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spatial_planning</w:t>
            </w:r>
          </w:p>
        </w:tc>
        <w:tc>
          <w:tcPr>
            <w:tcW w:type="dxa" w:w="45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permit_application, inspections, EHO tables, GIS editable features, statutory_plan</w:t>
            </w:r>
          </w:p>
        </w:tc>
      </w:tr>
      <w:tr>
        <w:tc>
          <w:tcPr>
            <w:tcW w:type="dxa" w:w="45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planning_clerk</w:t>
            </w:r>
          </w:p>
        </w:tc>
        <w:tc>
          <w:tcPr>
            <w:tcW w:type="dxa" w:w="45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correspondence, fee_receipt, acknowledgement_letter, permit_dispatch, refusal_letter, …</w:t>
            </w:r>
          </w:p>
        </w:tc>
      </w:tr>
      <w:tr>
        <w:tc>
          <w:tcPr>
            <w:tcW w:type="dxa" w:w="45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council_ops</w:t>
            </w:r>
          </w:p>
        </w:tc>
        <w:tc>
          <w:tcPr>
            <w:tcW w:type="dxa" w:w="45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road_asset, wash_asset, livestock_facility, service_desk_ticket</w:t>
            </w:r>
          </w:p>
        </w:tc>
      </w:tr>
      <w:tr>
        <w:tc>
          <w:tcPr>
            <w:tcW w:type="dxa" w:w="45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survey.*</w:t>
            </w:r>
          </w:p>
        </w:tc>
        <w:tc>
          <w:tcPr>
            <w:tcW w:type="dxa" w:w="45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per-surveyor tenant schemas + search_path isolation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E3A5F"/>
        </w:rPr>
        <w:t xml:space="preserve">4. Critical physical objects delivered</w:t>
      </w:r>
    </w:p>
    <w:p>
      <w:pPr>
        <w:pStyle w:val="Heading2"/>
        <w:spacing w:after="100" w:before="240"/>
      </w:pPr>
      <w:r>
        <w:rPr>
          <w:b/>
          <w:bCs/>
          <w:color w:val="0F766E"/>
        </w:rPr>
        <w:t xml:space="preserve">4.1 SSOT zones</w:t>
      </w:r>
    </w:p>
    <w:p>
      <w:pPr>
        <w:spacing w:after="60"/>
        <w:ind w:left="360"/>
      </w:pPr>
      <w:r>
        <w:rPr>
          <w:sz w:val="21"/>
          <w:szCs w:val="21"/>
        </w:rPr>
        <w:t xml:space="preserve">• Table proposed_peri_urban_zones (integer id) — permit FK target</w:t>
      </w:r>
    </w:p>
    <w:p>
      <w:pPr>
        <w:spacing w:after="60"/>
        <w:ind w:left="360"/>
      </w:pPr>
      <w:r>
        <w:rPr>
          <w:sz w:val="21"/>
          <w:szCs w:val="21"/>
        </w:rPr>
        <w:t xml:space="preserve">• View zones_master — map tile registry reads this (migrations 112/113)</w:t>
      </w:r>
    </w:p>
    <w:p>
      <w:pPr>
        <w:spacing w:after="60"/>
        <w:ind w:left="360"/>
      </w:pPr>
      <w:r>
        <w:rPr>
          <w:sz w:val="21"/>
          <w:szCs w:val="21"/>
        </w:rPr>
        <w:t xml:space="preserve">• Bootstrap 128 creates proposed_* from vungu_* copy when dump-only map exists</w:t>
      </w:r>
    </w:p>
    <w:p>
      <w:pPr>
        <w:pStyle w:val="Heading2"/>
        <w:spacing w:after="100" w:before="240"/>
      </w:pPr>
      <w:r>
        <w:rPr>
          <w:b/>
          <w:bCs/>
          <w:color w:val="0F766E"/>
        </w:rPr>
        <w:t xml:space="preserve">4.2 Stands 3NF</w:t>
      </w:r>
    </w:p>
    <w:p>
      <w:pPr>
        <w:spacing w:after="60"/>
        <w:ind w:left="360"/>
      </w:pPr>
      <w:r>
        <w:rPr>
          <w:sz w:val="21"/>
          <w:szCs w:val="21"/>
        </w:rPr>
        <w:t xml:space="preserve">• ward_fid → wards(fid); status_code; use_scale_code; zone_type_cache</w:t>
      </w:r>
    </w:p>
    <w:p>
      <w:pPr>
        <w:spacing w:after="60"/>
        <w:ind w:left="360"/>
      </w:pPr>
      <w:r>
        <w:rPr>
          <w:sz w:val="21"/>
          <w:szCs w:val="21"/>
        </w:rPr>
        <w:t xml:space="preserve">• zone_id_int INTEGER FK (127) — replaces unsafe UUID join myth</w:t>
      </w:r>
    </w:p>
    <w:p>
      <w:pPr>
        <w:spacing w:after="60"/>
        <w:ind w:left="360"/>
      </w:pPr>
      <w:r>
        <w:rPr>
          <w:sz w:val="21"/>
          <w:szCs w:val="21"/>
        </w:rPr>
        <w:t xml:space="preserve">• View v_stands joins ward + zone label</w:t>
      </w:r>
    </w:p>
    <w:p>
      <w:pPr>
        <w:pStyle w:val="Heading2"/>
        <w:spacing w:after="100" w:before="240"/>
      </w:pPr>
      <w:r>
        <w:rPr>
          <w:b/>
          <w:bCs/>
          <w:color w:val="0F766E"/>
        </w:rPr>
        <w:t xml:space="preserve">4.3 Reference tables (126)</w:t>
      </w:r>
    </w:p>
    <w:p>
      <w:pPr>
        <w:spacing w:after="60"/>
        <w:ind w:left="360"/>
      </w:pPr>
      <w:r>
        <w:rPr>
          <w:sz w:val="21"/>
          <w:szCs w:val="21"/>
        </w:rPr>
        <w:t xml:space="preserve">• ref_stand_statuses, ref_scale_categories, ref_use_scales, ref_zone_types, ref_application_statuses</w:t>
      </w:r>
    </w:p>
    <w:p>
      <w:pPr>
        <w:pStyle w:val="Heading2"/>
        <w:spacing w:after="100" w:before="240"/>
      </w:pPr>
      <w:r>
        <w:rPr>
          <w:b/>
          <w:bCs/>
          <w:color w:val="0F766E"/>
        </w:rPr>
        <w:t xml:space="preserve">4.4 Clerk &amp; service desk</w:t>
      </w:r>
    </w:p>
    <w:p>
      <w:pPr>
        <w:spacing w:after="60"/>
        <w:ind w:left="360"/>
      </w:pPr>
      <w:r>
        <w:rPr>
          <w:sz w:val="21"/>
          <w:szCs w:val="21"/>
        </w:rPr>
        <w:t xml:space="preserve">• planning_clerk.* from migration 124</w:t>
      </w:r>
    </w:p>
    <w:p>
      <w:pPr>
        <w:spacing w:after="60"/>
        <w:ind w:left="360"/>
      </w:pPr>
      <w:r>
        <w:rPr>
          <w:sz w:val="21"/>
          <w:szCs w:val="21"/>
        </w:rPr>
        <w:t xml:space="preserve">• council_ops.service_desk_ticket from migration 125</w:t>
      </w:r>
    </w:p>
    <w:p>
      <w:pPr>
        <w:pStyle w:val="Heading1"/>
        <w:spacing w:after="140" w:before="320"/>
      </w:pPr>
      <w:r>
        <w:rPr>
          <w:b/>
          <w:bCs/>
          <w:color w:val="1E3A5F"/>
        </w:rPr>
        <w:t xml:space="preserve">5. Physical ER-style diagram (simplified)</w:t>
      </w:r>
    </w:p>
    <w:p>
      <w:pPr>
        <w:shd w:fill="F0FDFA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users 1──1 user_profiles</w:t>
      </w:r>
    </w:p>
    <w:p>
      <w:pPr>
        <w:shd w:fill="F0FDFA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wards 1──* stands (ward_fid)</w:t>
      </w:r>
    </w:p>
    <w:p>
      <w:pPr>
        <w:shd w:fill="F0FDFA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proposed_peri_urban_zones 1──* stands (zone_id_int)</w:t>
      </w:r>
    </w:p>
    <w:p>
      <w:pPr>
        <w:shd w:fill="F0FDFA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proposed_peri_urban_zones 1──* development_matrix</w:t>
      </w:r>
    </w:p>
    <w:p>
      <w:pPr>
        <w:shd w:fill="F0FDFA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zones_master (VIEW) ── same rows as proposed_* for tiles</w:t>
      </w:r>
    </w:p>
    <w:p>
      <w:pPr>
        <w:shd w:fill="F0FDFA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permit_application *──* documents / status_history / inspections</w:t>
      </w:r>
    </w:p>
    <w:p>
      <w:pPr>
        <w:shd w:fill="F0FDFA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planning_clerk.* *──o permit_application_id (nullable UUID text links)</w:t>
      </w:r>
    </w:p>
    <w:p>
      <w:pPr>
        <w:shd w:fill="F0FDFA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council_ops.* geometry(Point/MultiLine, 4326) + GiST</w:t>
      </w:r>
    </w:p>
    <w:p>
      <w:pPr>
        <w:pStyle w:val="Heading1"/>
        <w:spacing w:after="140" w:before="320"/>
      </w:pPr>
      <w:r>
        <w:rPr>
          <w:b/>
          <w:bCs/>
          <w:color w:val="1E3A5F"/>
        </w:rPr>
        <w:t xml:space="preserve">6. Indexing &amp; performance physics</w:t>
      </w:r>
    </w:p>
    <w:p>
      <w:pPr>
        <w:spacing w:after="60"/>
        <w:ind w:left="360"/>
      </w:pPr>
      <w:r>
        <w:rPr>
          <w:sz w:val="21"/>
          <w:szCs w:val="21"/>
        </w:rPr>
        <w:t xml:space="preserve">• GiST on geometry columns (migrations 074/078 family)</w:t>
      </w:r>
    </w:p>
    <w:p>
      <w:pPr>
        <w:spacing w:after="60"/>
        <w:ind w:left="360"/>
      </w:pPr>
      <w:r>
        <w:rPr>
          <w:sz w:val="21"/>
          <w:szCs w:val="21"/>
        </w:rPr>
        <w:t xml:space="preserve">• Connection pool sized for tile bursts</w:t>
      </w:r>
    </w:p>
    <w:p>
      <w:pPr>
        <w:spacing w:after="60"/>
        <w:ind w:left="360"/>
      </w:pPr>
      <w:r>
        <w:rPr>
          <w:sz w:val="21"/>
          <w:szCs w:val="21"/>
        </w:rPr>
        <w:t xml:space="preserve">• Missing relation → empty tile 204 (safe degrade)</w:t>
      </w:r>
    </w:p>
    <w:p>
      <w:pPr>
        <w:spacing w:after="60"/>
        <w:ind w:left="360"/>
      </w:pPr>
      <w:r>
        <w:rPr>
          <w:sz w:val="21"/>
          <w:szCs w:val="21"/>
        </w:rPr>
        <w:t xml:space="preserve">• Auth rate limit 429; tiles/health allow-listed</w:t>
      </w:r>
    </w:p>
    <w:p>
      <w:pPr>
        <w:pStyle w:val="Heading1"/>
        <w:spacing w:after="140" w:before="320"/>
      </w:pPr>
      <w:r>
        <w:rPr>
          <w:b/>
          <w:bCs/>
          <w:color w:val="1E3A5F"/>
        </w:rPr>
        <w:t xml:space="preserve">7. What is NOT physicalised in migrations</w:t>
      </w:r>
    </w:p>
    <w:p>
      <w:pPr>
        <w:spacing w:after="60"/>
        <w:ind w:left="360"/>
      </w:pPr>
      <w:r>
        <w:rPr>
          <w:sz w:val="21"/>
          <w:szCs w:val="21"/>
        </w:rPr>
        <w:t xml:space="preserve">• OSM buildings/roads bulk (~GB) — GPKG/pg_dump restore</w:t>
      </w:r>
    </w:p>
    <w:p>
      <w:pPr>
        <w:spacing w:after="60"/>
        <w:ind w:left="360"/>
      </w:pPr>
      <w:r>
        <w:rPr>
          <w:sz w:val="21"/>
          <w:szCs w:val="21"/>
        </w:rPr>
        <w:t xml:space="preserve">• Some ward/district polygons — dump-sourced</w:t>
      </w:r>
    </w:p>
    <w:p>
      <w:pPr>
        <w:spacing w:after="120"/>
      </w:pPr>
      <w:r>
        <w:rPr>
          <w:sz w:val="22"/>
          <w:szCs w:val="22"/>
        </w:rPr>
        <w:t xml:space="preserve">Documented in DATA-DUMP-REPORT.md. Schema can be ready while basemap restore is still required.</w:t>
      </w:r>
    </w:p>
    <w:p>
      <w:pPr>
        <w:pStyle w:val="Heading1"/>
        <w:spacing w:after="140" w:before="320"/>
      </w:pPr>
      <w:r>
        <w:rPr>
          <w:b/>
          <w:bCs/>
          <w:color w:val="1E3A5F"/>
        </w:rPr>
        <w:t xml:space="preserve">8. Security physics</w:t>
      </w:r>
    </w:p>
    <w:p>
      <w:pPr>
        <w:spacing w:after="60"/>
        <w:ind w:left="360"/>
      </w:pPr>
      <w:r>
        <w:rPr>
          <w:sz w:val="21"/>
          <w:szCs w:val="21"/>
        </w:rPr>
        <w:t xml:space="preserve">• JWT_SECRET / CAPTCHA_SECRET in env</w:t>
      </w:r>
    </w:p>
    <w:p>
      <w:pPr>
        <w:spacing w:after="60"/>
        <w:ind w:left="360"/>
      </w:pPr>
      <w:r>
        <w:rPr>
          <w:sz w:val="21"/>
          <w:szCs w:val="21"/>
        </w:rPr>
        <w:t xml:space="preserve">• requireRole preHandlers on WFS, QML, spatial writes, status-history</w:t>
      </w:r>
    </w:p>
    <w:p>
      <w:pPr>
        <w:spacing w:after="60"/>
        <w:ind w:left="360"/>
      </w:pPr>
      <w:r>
        <w:rPr>
          <w:sz w:val="21"/>
          <w:szCs w:val="21"/>
        </w:rPr>
        <w:t xml:space="preserve">• DEMO_SEED_ENABLED must be false in production</w:t>
      </w:r>
    </w:p>
    <w:p>
      <w:pPr>
        <w:spacing w:after="60"/>
      </w:pPr>
    </w:p>
    <w:p>
      <w:pPr>
        <w:spacing w:after="120"/>
      </w:pPr>
      <w:r>
        <w:rPr>
          <w:sz w:val="22"/>
          <w:szCs w:val="22"/>
        </w:rPr>
        <w:t xml:space="preserve">End of physical model.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5"/>
        <w:szCs w:val="15"/>
      </w:rPr>
      <w:t xml:space="preserve">Page </w:t>
    </w:r>
    <w:r>
      <w:rPr>
        <w:color w:val="64748B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5"/>
        <w:szCs w:val="15"/>
      </w:rPr>
      <w:t xml:space="preserve"> / </w:t>
    </w:r>
    <w:r>
      <w:rPr>
        <w:color w:val="64748B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64748B"/>
        <w:sz w:val="15"/>
        <w:szCs w:val="15"/>
      </w:rPr>
      <w:t xml:space="preserve">Vungu RDC · Physical Model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Physical Model</dc:title>
  <dc:creator>SpartialIQ</dc:creator>
  <cp:lastModifiedBy>Un-named</cp:lastModifiedBy>
  <cp:revision>1</cp:revision>
  <dcterms:created xsi:type="dcterms:W3CDTF">2026-09-23T13:57:04.069Z</dcterms:created>
  <dcterms:modified xsi:type="dcterms:W3CDTF">2026-09-23T13:57:04.069Z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