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F602" w14:textId="77777777" w:rsidR="001D1EFF" w:rsidRPr="0075566B" w:rsidRDefault="001D1EFF" w:rsidP="001D1EFF">
      <w:pPr>
        <w:spacing w:line="256" w:lineRule="auto"/>
        <w:jc w:val="center"/>
        <w:rPr>
          <w:rFonts w:ascii="Calibri" w:eastAsia="Calibri" w:hAnsi="Calibri" w:cs="Arial"/>
          <w:b/>
          <w:sz w:val="32"/>
        </w:rPr>
      </w:pPr>
      <w:r w:rsidRPr="0075566B">
        <w:rPr>
          <w:rFonts w:ascii="Calibri" w:eastAsia="Calibri" w:hAnsi="Calibri" w:cs="Arial"/>
          <w:b/>
          <w:sz w:val="32"/>
        </w:rPr>
        <w:t xml:space="preserve">BUC-0102 - Accounting and Management Control II </w:t>
      </w:r>
    </w:p>
    <w:p w14:paraId="3295852B" w14:textId="77777777" w:rsidR="00F62F05" w:rsidRDefault="00F62F05" w:rsidP="00F62F05">
      <w:pPr>
        <w:jc w:val="center"/>
        <w:rPr>
          <w:b/>
          <w:sz w:val="32"/>
        </w:rPr>
      </w:pPr>
      <w:r>
        <w:rPr>
          <w:b/>
          <w:sz w:val="32"/>
        </w:rPr>
        <w:t>Exercises chapter 7</w:t>
      </w:r>
    </w:p>
    <w:p w14:paraId="2D227F51" w14:textId="77777777" w:rsidR="00123EFD" w:rsidRPr="006E78C7" w:rsidRDefault="00123EFD">
      <w:pPr>
        <w:rPr>
          <w:rFonts w:ascii="Times New Roman" w:hAnsi="Times New Roman" w:cs="Times New Roman"/>
          <w:b/>
        </w:rPr>
      </w:pPr>
    </w:p>
    <w:p w14:paraId="1F7AFED9" w14:textId="77777777" w:rsidR="00C0077E" w:rsidRPr="006E78C7" w:rsidRDefault="00C0077E" w:rsidP="00C0077E">
      <w:pPr>
        <w:rPr>
          <w:rFonts w:ascii="Times New Roman" w:hAnsi="Times New Roman" w:cs="Times New Roman"/>
          <w:b/>
        </w:rPr>
      </w:pPr>
      <w:r w:rsidRPr="006E78C7">
        <w:rPr>
          <w:rFonts w:ascii="Times New Roman" w:hAnsi="Times New Roman" w:cs="Times New Roman"/>
          <w:b/>
        </w:rPr>
        <w:t xml:space="preserve">Exercise </w:t>
      </w:r>
      <w:r>
        <w:rPr>
          <w:rFonts w:ascii="Times New Roman" w:hAnsi="Times New Roman" w:cs="Times New Roman"/>
          <w:b/>
        </w:rPr>
        <w:t>1</w:t>
      </w:r>
      <w:r w:rsidRPr="006E78C7">
        <w:rPr>
          <w:rFonts w:ascii="Times New Roman" w:hAnsi="Times New Roman" w:cs="Times New Roman"/>
          <w:b/>
        </w:rPr>
        <w:t>:</w:t>
      </w:r>
    </w:p>
    <w:p w14:paraId="4C8F9C0E" w14:textId="77777777" w:rsidR="00C0077E" w:rsidRPr="006E78C7" w:rsidRDefault="00C0077E" w:rsidP="00C007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E78C7">
        <w:rPr>
          <w:rFonts w:ascii="Times New Roman" w:eastAsia="Times New Roman" w:hAnsi="Times New Roman" w:cs="Times New Roman"/>
          <w:color w:val="000000"/>
        </w:rPr>
        <w:t xml:space="preserve">Dunn Company produces two products, </w:t>
      </w:r>
      <w:proofErr w:type="gramStart"/>
      <w:r w:rsidRPr="006E78C7">
        <w:rPr>
          <w:rFonts w:ascii="Times New Roman" w:eastAsia="Times New Roman" w:hAnsi="Times New Roman" w:cs="Times New Roman"/>
          <w:color w:val="000000"/>
        </w:rPr>
        <w:t>Fred</w:t>
      </w:r>
      <w:proofErr w:type="gramEnd"/>
      <w:r w:rsidRPr="006E78C7">
        <w:rPr>
          <w:rFonts w:ascii="Times New Roman" w:eastAsia="Times New Roman" w:hAnsi="Times New Roman" w:cs="Times New Roman"/>
          <w:color w:val="000000"/>
        </w:rPr>
        <w:t xml:space="preserve"> and Barney. Overhead has traditionally been allocated </w:t>
      </w:r>
      <w:proofErr w:type="gramStart"/>
      <w:r w:rsidRPr="006E78C7">
        <w:rPr>
          <w:rFonts w:ascii="Times New Roman" w:eastAsia="Times New Roman" w:hAnsi="Times New Roman" w:cs="Times New Roman"/>
          <w:color w:val="000000"/>
        </w:rPr>
        <w:t>on the basis of</w:t>
      </w:r>
      <w:proofErr w:type="gramEnd"/>
      <w:r w:rsidRPr="006E78C7">
        <w:rPr>
          <w:rFonts w:ascii="Times New Roman" w:eastAsia="Times New Roman" w:hAnsi="Times New Roman" w:cs="Times New Roman"/>
          <w:color w:val="000000"/>
        </w:rPr>
        <w:t xml:space="preserve"> direct labor hours. Dunn recently sat up 3 activity centers to implement ABC costing. Information concerning this follows:</w:t>
      </w:r>
    </w:p>
    <w:p w14:paraId="3C629B07" w14:textId="77777777" w:rsidR="00C0077E" w:rsidRPr="006E78C7" w:rsidRDefault="00C0077E" w:rsidP="00C0077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Ind w:w="4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800"/>
        <w:gridCol w:w="1980"/>
        <w:gridCol w:w="1530"/>
      </w:tblGrid>
      <w:tr w:rsidR="00C0077E" w:rsidRPr="006E78C7" w14:paraId="4E3DA9FF" w14:textId="77777777" w:rsidTr="00F401E3">
        <w:trPr>
          <w:trHeight w:val="7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2427F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Activity Centers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CBA4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Estimated Activity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1A33AF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Estimated Cost</w:t>
            </w:r>
          </w:p>
        </w:tc>
      </w:tr>
      <w:tr w:rsidR="00C0077E" w:rsidRPr="006E78C7" w14:paraId="418CF50C" w14:textId="77777777" w:rsidTr="00F401E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F8B5B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1F53B" w14:textId="77777777" w:rsidR="00C0077E" w:rsidRPr="006E78C7" w:rsidRDefault="00C0077E" w:rsidP="00F401E3">
            <w:pPr>
              <w:spacing w:after="0" w:line="36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Fred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9A3BC" w14:textId="77777777" w:rsidR="00C0077E" w:rsidRPr="006E78C7" w:rsidRDefault="00C0077E" w:rsidP="00F401E3">
            <w:pPr>
              <w:spacing w:after="0" w:line="360" w:lineRule="auto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Barney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5231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0077E" w:rsidRPr="006E78C7" w14:paraId="5FFE5C10" w14:textId="77777777" w:rsidTr="00F401E3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19FA1" w14:textId="77777777" w:rsidR="00C0077E" w:rsidRPr="000471A9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471A9">
              <w:rPr>
                <w:rFonts w:ascii="Times New Roman" w:eastAsia="Times New Roman" w:hAnsi="Times New Roman" w:cs="Times New Roman"/>
                <w:color w:val="FF0000"/>
              </w:rPr>
              <w:t>Machine setups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5CE42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12 setups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76B3F6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36 setups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2B31E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$ 96,000</w:t>
            </w:r>
          </w:p>
        </w:tc>
      </w:tr>
      <w:tr w:rsidR="00C0077E" w:rsidRPr="006E78C7" w14:paraId="3E0C9490" w14:textId="77777777" w:rsidTr="00F401E3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ECDAB" w14:textId="77777777" w:rsidR="00C0077E" w:rsidRPr="000471A9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471A9">
              <w:rPr>
                <w:rFonts w:ascii="Times New Roman" w:eastAsia="Times New Roman" w:hAnsi="Times New Roman" w:cs="Times New Roman"/>
                <w:color w:val="FF0000"/>
              </w:rPr>
              <w:t>Assembly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4FCA1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2,000 square feet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C685C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3,000 square feet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C49EC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180,000</w:t>
            </w:r>
          </w:p>
        </w:tc>
      </w:tr>
      <w:tr w:rsidR="00C0077E" w:rsidRPr="006E78C7" w14:paraId="2342ACE0" w14:textId="77777777" w:rsidTr="00F401E3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C2A23" w14:textId="77777777" w:rsidR="00C0077E" w:rsidRPr="000471A9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0471A9">
              <w:rPr>
                <w:rFonts w:ascii="Times New Roman" w:eastAsia="Times New Roman" w:hAnsi="Times New Roman" w:cs="Times New Roman"/>
                <w:color w:val="FF0000"/>
              </w:rPr>
              <w:t>Packaging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941AD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600 crates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97631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400 crates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828D1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34,000</w:t>
            </w:r>
          </w:p>
        </w:tc>
      </w:tr>
      <w:tr w:rsidR="00C0077E" w:rsidRPr="006E78C7" w14:paraId="6C984610" w14:textId="77777777" w:rsidTr="00F401E3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EC3C6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Direct labor hours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957D4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2 hours per unit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B0BC6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3.3 hours per unit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F87C5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C0077E" w:rsidRPr="006E78C7" w14:paraId="68DA65DD" w14:textId="77777777" w:rsidTr="00F401E3"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4C82E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Estimated volume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043A3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700 units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F7D29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2,000 units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16988" w14:textId="77777777" w:rsidR="00C0077E" w:rsidRPr="006E78C7" w:rsidRDefault="00C0077E" w:rsidP="00F401E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E78C7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14:paraId="1D82B8DD" w14:textId="77777777" w:rsidR="00C0077E" w:rsidRPr="006E78C7" w:rsidRDefault="00C0077E" w:rsidP="00C0077E">
      <w:pPr>
        <w:spacing w:line="360" w:lineRule="auto"/>
        <w:jc w:val="both"/>
        <w:rPr>
          <w:rFonts w:ascii="Times New Roman" w:hAnsi="Times New Roman" w:cs="Times New Roman"/>
        </w:rPr>
      </w:pPr>
    </w:p>
    <w:p w14:paraId="3AFAA724" w14:textId="77777777" w:rsidR="00C0077E" w:rsidRDefault="00C0077E" w:rsidP="00C0077E">
      <w:pPr>
        <w:spacing w:line="360" w:lineRule="auto"/>
        <w:jc w:val="both"/>
        <w:rPr>
          <w:rFonts w:ascii="Times New Roman" w:hAnsi="Times New Roman" w:cs="Times New Roman"/>
        </w:rPr>
      </w:pPr>
      <w:r w:rsidRPr="006E78C7">
        <w:rPr>
          <w:rFonts w:ascii="Times New Roman" w:hAnsi="Times New Roman" w:cs="Times New Roman"/>
        </w:rPr>
        <w:t>Determine the overhead to be allocated per unit to each product under ABC</w:t>
      </w:r>
      <w:r w:rsidR="006E6CD8">
        <w:rPr>
          <w:rFonts w:ascii="Times New Roman" w:hAnsi="Times New Roman" w:cs="Times New Roman"/>
        </w:rPr>
        <w:t xml:space="preserve"> Method</w:t>
      </w:r>
      <w:r w:rsidRPr="006E78C7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710"/>
        <w:gridCol w:w="2244"/>
      </w:tblGrid>
      <w:tr w:rsidR="00C0056F" w:rsidRPr="006E78C7" w14:paraId="0DEEB234" w14:textId="77777777" w:rsidTr="00F41AA7">
        <w:trPr>
          <w:trHeight w:val="323"/>
        </w:trPr>
        <w:tc>
          <w:tcPr>
            <w:tcW w:w="2515" w:type="dxa"/>
          </w:tcPr>
          <w:p w14:paraId="0DB00CDF" w14:textId="787D18EC" w:rsidR="00C0056F" w:rsidRPr="006E78C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Activity </w:t>
            </w:r>
            <w:r w:rsidR="00F41AA7">
              <w:rPr>
                <w:rFonts w:ascii="Times New Roman" w:hAnsi="Times New Roman" w:cs="Times New Roman"/>
                <w:b/>
              </w:rPr>
              <w:t>center</w:t>
            </w:r>
          </w:p>
        </w:tc>
        <w:tc>
          <w:tcPr>
            <w:tcW w:w="1890" w:type="dxa"/>
          </w:tcPr>
          <w:p w14:paraId="35EA8427" w14:textId="695D82BF" w:rsidR="00C0056F" w:rsidRPr="006E78C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Total  </w:t>
            </w:r>
          </w:p>
        </w:tc>
        <w:tc>
          <w:tcPr>
            <w:tcW w:w="1710" w:type="dxa"/>
          </w:tcPr>
          <w:p w14:paraId="00DCAE67" w14:textId="59EBA475" w:rsidR="00C0056F" w:rsidRPr="006E78C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Activity </w:t>
            </w:r>
            <w:r w:rsidR="00F41AA7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2244" w:type="dxa"/>
          </w:tcPr>
          <w:p w14:paraId="2D1B5DEA" w14:textId="5C4A2502" w:rsidR="00C0056F" w:rsidRPr="006E78C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ABC</w:t>
            </w:r>
          </w:p>
        </w:tc>
      </w:tr>
      <w:tr w:rsidR="00C0056F" w:rsidRPr="006E78C7" w14:paraId="2692A409" w14:textId="77777777" w:rsidTr="00F41AA7">
        <w:tc>
          <w:tcPr>
            <w:tcW w:w="2515" w:type="dxa"/>
          </w:tcPr>
          <w:p w14:paraId="19372BDA" w14:textId="697B9B60" w:rsidR="00C0056F" w:rsidRPr="006E78C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Machine setups</w:t>
            </w:r>
          </w:p>
        </w:tc>
        <w:tc>
          <w:tcPr>
            <w:tcW w:w="1890" w:type="dxa"/>
          </w:tcPr>
          <w:p w14:paraId="749A19CE" w14:textId="6E92D525" w:rsidR="00C0056F" w:rsidRPr="00C0056F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0056F">
              <w:rPr>
                <w:rFonts w:ascii="Times New Roman" w:hAnsi="Times New Roman" w:cs="Times New Roman"/>
                <w:bCs/>
              </w:rPr>
              <w:t>48</w:t>
            </w:r>
          </w:p>
        </w:tc>
        <w:tc>
          <w:tcPr>
            <w:tcW w:w="1710" w:type="dxa"/>
          </w:tcPr>
          <w:p w14:paraId="56DCE098" w14:textId="7493464E" w:rsidR="00C0056F" w:rsidRPr="00C0056F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0056F">
              <w:rPr>
                <w:rFonts w:ascii="Times New Roman" w:hAnsi="Times New Roman" w:cs="Times New Roman"/>
                <w:bCs/>
              </w:rPr>
              <w:t>96,000</w:t>
            </w:r>
          </w:p>
        </w:tc>
        <w:tc>
          <w:tcPr>
            <w:tcW w:w="2244" w:type="dxa"/>
          </w:tcPr>
          <w:p w14:paraId="72A106E6" w14:textId="6F56B251" w:rsidR="00C0056F" w:rsidRPr="00F41AA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41AA7">
              <w:rPr>
                <w:rFonts w:ascii="Times New Roman" w:hAnsi="Times New Roman" w:cs="Times New Roman"/>
                <w:b/>
                <w:u w:val="single"/>
              </w:rPr>
              <w:t xml:space="preserve">96,000 / 48 = 2,000 </w:t>
            </w:r>
          </w:p>
        </w:tc>
      </w:tr>
      <w:tr w:rsidR="00C0056F" w:rsidRPr="006E78C7" w14:paraId="2F88BEA1" w14:textId="77777777" w:rsidTr="00F41AA7">
        <w:tc>
          <w:tcPr>
            <w:tcW w:w="2515" w:type="dxa"/>
          </w:tcPr>
          <w:p w14:paraId="62ABB81F" w14:textId="51F3659D" w:rsidR="00C0056F" w:rsidRPr="006E78C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Assembly</w:t>
            </w:r>
          </w:p>
        </w:tc>
        <w:tc>
          <w:tcPr>
            <w:tcW w:w="1890" w:type="dxa"/>
          </w:tcPr>
          <w:p w14:paraId="70C368B5" w14:textId="2D214711" w:rsidR="00C0056F" w:rsidRPr="00C0056F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0056F">
              <w:rPr>
                <w:rFonts w:ascii="Times New Roman" w:hAnsi="Times New Roman" w:cs="Times New Roman"/>
                <w:bCs/>
              </w:rPr>
              <w:t>5,000</w:t>
            </w:r>
          </w:p>
        </w:tc>
        <w:tc>
          <w:tcPr>
            <w:tcW w:w="1710" w:type="dxa"/>
          </w:tcPr>
          <w:p w14:paraId="1394D3BB" w14:textId="66B5E37A" w:rsidR="00C0056F" w:rsidRPr="00C0056F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0056F">
              <w:rPr>
                <w:rFonts w:ascii="Times New Roman" w:hAnsi="Times New Roman" w:cs="Times New Roman"/>
                <w:bCs/>
              </w:rPr>
              <w:t>180,000</w:t>
            </w:r>
          </w:p>
        </w:tc>
        <w:tc>
          <w:tcPr>
            <w:tcW w:w="2244" w:type="dxa"/>
          </w:tcPr>
          <w:p w14:paraId="4F8B56AB" w14:textId="702185B2" w:rsidR="00C0056F" w:rsidRPr="00F41AA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41AA7">
              <w:rPr>
                <w:rFonts w:ascii="Times New Roman" w:hAnsi="Times New Roman" w:cs="Times New Roman"/>
                <w:b/>
                <w:u w:val="single"/>
              </w:rPr>
              <w:t>36</w:t>
            </w:r>
          </w:p>
        </w:tc>
      </w:tr>
      <w:tr w:rsidR="00C0056F" w:rsidRPr="006E78C7" w14:paraId="4C612305" w14:textId="77777777" w:rsidTr="00F41AA7">
        <w:tc>
          <w:tcPr>
            <w:tcW w:w="2515" w:type="dxa"/>
          </w:tcPr>
          <w:p w14:paraId="5CA8CAC4" w14:textId="403FAC4C" w:rsidR="00C0056F" w:rsidRPr="006E78C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packaging</w:t>
            </w:r>
          </w:p>
        </w:tc>
        <w:tc>
          <w:tcPr>
            <w:tcW w:w="1890" w:type="dxa"/>
          </w:tcPr>
          <w:p w14:paraId="5277BBA3" w14:textId="57C20866" w:rsidR="00C0056F" w:rsidRPr="00C0056F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0056F">
              <w:rPr>
                <w:rFonts w:ascii="Times New Roman" w:hAnsi="Times New Roman" w:cs="Times New Roman"/>
                <w:bCs/>
              </w:rPr>
              <w:t>1,000</w:t>
            </w:r>
          </w:p>
        </w:tc>
        <w:tc>
          <w:tcPr>
            <w:tcW w:w="1710" w:type="dxa"/>
          </w:tcPr>
          <w:p w14:paraId="56662E69" w14:textId="283BA2C8" w:rsidR="00C0056F" w:rsidRPr="00C0056F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C0056F">
              <w:rPr>
                <w:rFonts w:ascii="Times New Roman" w:hAnsi="Times New Roman" w:cs="Times New Roman"/>
                <w:bCs/>
              </w:rPr>
              <w:t>34,000</w:t>
            </w:r>
          </w:p>
        </w:tc>
        <w:tc>
          <w:tcPr>
            <w:tcW w:w="2244" w:type="dxa"/>
          </w:tcPr>
          <w:p w14:paraId="290F55F3" w14:textId="606B78DB" w:rsidR="00C0056F" w:rsidRPr="00F41AA7" w:rsidRDefault="00C0056F" w:rsidP="006C45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F41AA7">
              <w:rPr>
                <w:rFonts w:ascii="Times New Roman" w:hAnsi="Times New Roman" w:cs="Times New Roman"/>
                <w:b/>
                <w:u w:val="single"/>
              </w:rPr>
              <w:t>34</w:t>
            </w:r>
          </w:p>
        </w:tc>
      </w:tr>
    </w:tbl>
    <w:p w14:paraId="3CEAD40A" w14:textId="0CE11403" w:rsidR="000471A9" w:rsidRDefault="000471A9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1AA7" w14:paraId="4CE76D3B" w14:textId="77777777" w:rsidTr="00F41AA7">
        <w:tc>
          <w:tcPr>
            <w:tcW w:w="3116" w:type="dxa"/>
            <w:vAlign w:val="center"/>
          </w:tcPr>
          <w:p w14:paraId="0F743FE8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3117" w:type="dxa"/>
          </w:tcPr>
          <w:p w14:paraId="79C465B1" w14:textId="0DA96BF3" w:rsidR="00F41AA7" w:rsidRPr="00F41AA7" w:rsidRDefault="00F41AA7" w:rsidP="00F41A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41AA7">
              <w:rPr>
                <w:rFonts w:ascii="Times New Roman" w:hAnsi="Times New Roman" w:cs="Times New Roman"/>
                <w:b/>
              </w:rPr>
              <w:t>Fred</w:t>
            </w:r>
          </w:p>
        </w:tc>
        <w:tc>
          <w:tcPr>
            <w:tcW w:w="3117" w:type="dxa"/>
          </w:tcPr>
          <w:p w14:paraId="7E7E4343" w14:textId="67E2B5C5" w:rsidR="00F41AA7" w:rsidRPr="00F41AA7" w:rsidRDefault="00F41AA7" w:rsidP="00F41A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41AA7">
              <w:rPr>
                <w:rFonts w:ascii="Times New Roman" w:hAnsi="Times New Roman" w:cs="Times New Roman"/>
                <w:b/>
              </w:rPr>
              <w:t>Barney</w:t>
            </w:r>
          </w:p>
        </w:tc>
      </w:tr>
      <w:tr w:rsidR="00F41AA7" w14:paraId="0517B7E2" w14:textId="77777777" w:rsidTr="00F41AA7">
        <w:tc>
          <w:tcPr>
            <w:tcW w:w="3116" w:type="dxa"/>
            <w:vAlign w:val="center"/>
          </w:tcPr>
          <w:p w14:paraId="306A2036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41AA7">
              <w:rPr>
                <w:rFonts w:ascii="Times New Roman" w:eastAsia="Times New Roman" w:hAnsi="Times New Roman" w:cs="Times New Roman"/>
                <w:color w:val="000000" w:themeColor="text1"/>
              </w:rPr>
              <w:t>Machine setups</w:t>
            </w:r>
          </w:p>
        </w:tc>
        <w:tc>
          <w:tcPr>
            <w:tcW w:w="3117" w:type="dxa"/>
          </w:tcPr>
          <w:p w14:paraId="72628311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41AA7">
              <w:rPr>
                <w:rFonts w:ascii="Times New Roman" w:hAnsi="Times New Roman" w:cs="Times New Roman"/>
                <w:bCs/>
              </w:rPr>
              <w:t>12*2,000=24,000</w:t>
            </w:r>
          </w:p>
        </w:tc>
        <w:tc>
          <w:tcPr>
            <w:tcW w:w="3117" w:type="dxa"/>
          </w:tcPr>
          <w:p w14:paraId="484B2002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41AA7">
              <w:rPr>
                <w:rFonts w:ascii="Times New Roman" w:hAnsi="Times New Roman" w:cs="Times New Roman"/>
                <w:bCs/>
              </w:rPr>
              <w:t>36*2000=72,000</w:t>
            </w:r>
          </w:p>
        </w:tc>
      </w:tr>
      <w:tr w:rsidR="00F41AA7" w14:paraId="791FBDB2" w14:textId="77777777" w:rsidTr="00F41AA7">
        <w:tc>
          <w:tcPr>
            <w:tcW w:w="3116" w:type="dxa"/>
            <w:vAlign w:val="center"/>
          </w:tcPr>
          <w:p w14:paraId="79F613B1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41AA7">
              <w:rPr>
                <w:rFonts w:ascii="Times New Roman" w:eastAsia="Times New Roman" w:hAnsi="Times New Roman" w:cs="Times New Roman"/>
                <w:color w:val="000000" w:themeColor="text1"/>
              </w:rPr>
              <w:t>Assembly</w:t>
            </w:r>
          </w:p>
        </w:tc>
        <w:tc>
          <w:tcPr>
            <w:tcW w:w="3117" w:type="dxa"/>
          </w:tcPr>
          <w:p w14:paraId="705E6F26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41AA7">
              <w:rPr>
                <w:rFonts w:ascii="Times New Roman" w:hAnsi="Times New Roman" w:cs="Times New Roman"/>
                <w:bCs/>
              </w:rPr>
              <w:t>2000*36=72,000</w:t>
            </w:r>
          </w:p>
        </w:tc>
        <w:tc>
          <w:tcPr>
            <w:tcW w:w="3117" w:type="dxa"/>
          </w:tcPr>
          <w:p w14:paraId="71DAFCC3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41AA7">
              <w:rPr>
                <w:rFonts w:ascii="Times New Roman" w:hAnsi="Times New Roman" w:cs="Times New Roman"/>
                <w:bCs/>
              </w:rPr>
              <w:t>3,000*36=108,000</w:t>
            </w:r>
          </w:p>
        </w:tc>
      </w:tr>
      <w:tr w:rsidR="00F41AA7" w14:paraId="626BE19C" w14:textId="77777777" w:rsidTr="00F41AA7">
        <w:tc>
          <w:tcPr>
            <w:tcW w:w="3116" w:type="dxa"/>
            <w:vAlign w:val="center"/>
          </w:tcPr>
          <w:p w14:paraId="51BD556B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F41AA7">
              <w:rPr>
                <w:rFonts w:ascii="Times New Roman" w:eastAsia="Times New Roman" w:hAnsi="Times New Roman" w:cs="Times New Roman"/>
                <w:color w:val="000000" w:themeColor="text1"/>
              </w:rPr>
              <w:t>Packaging</w:t>
            </w:r>
          </w:p>
        </w:tc>
        <w:tc>
          <w:tcPr>
            <w:tcW w:w="3117" w:type="dxa"/>
          </w:tcPr>
          <w:p w14:paraId="6782B82B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41AA7">
              <w:rPr>
                <w:rFonts w:ascii="Times New Roman" w:hAnsi="Times New Roman" w:cs="Times New Roman"/>
                <w:bCs/>
              </w:rPr>
              <w:t>600*34=20,400</w:t>
            </w:r>
          </w:p>
        </w:tc>
        <w:tc>
          <w:tcPr>
            <w:tcW w:w="3117" w:type="dxa"/>
          </w:tcPr>
          <w:p w14:paraId="1CE042B5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41AA7">
              <w:rPr>
                <w:rFonts w:ascii="Times New Roman" w:hAnsi="Times New Roman" w:cs="Times New Roman"/>
                <w:bCs/>
              </w:rPr>
              <w:t>400*34=13,600</w:t>
            </w:r>
          </w:p>
        </w:tc>
      </w:tr>
      <w:tr w:rsidR="00F41AA7" w14:paraId="31AE6D3C" w14:textId="77777777" w:rsidTr="006C453D">
        <w:tc>
          <w:tcPr>
            <w:tcW w:w="3116" w:type="dxa"/>
          </w:tcPr>
          <w:p w14:paraId="5FBAFEED" w14:textId="323243F1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41AA7">
              <w:rPr>
                <w:rFonts w:ascii="Times New Roman" w:hAnsi="Times New Roman" w:cs="Times New Roman"/>
                <w:color w:val="000000" w:themeColor="text1"/>
              </w:rPr>
              <w:t>Total manufacturing overhead</w:t>
            </w:r>
          </w:p>
        </w:tc>
        <w:tc>
          <w:tcPr>
            <w:tcW w:w="3117" w:type="dxa"/>
          </w:tcPr>
          <w:p w14:paraId="23D2C176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F41AA7">
              <w:rPr>
                <w:rFonts w:ascii="Times New Roman" w:hAnsi="Times New Roman" w:cs="Times New Roman"/>
                <w:b/>
                <w:u w:val="single"/>
              </w:rPr>
              <w:t>116,400</w:t>
            </w:r>
          </w:p>
        </w:tc>
        <w:tc>
          <w:tcPr>
            <w:tcW w:w="3117" w:type="dxa"/>
          </w:tcPr>
          <w:p w14:paraId="67548CE7" w14:textId="77777777" w:rsidR="00F41AA7" w:rsidRPr="00F41AA7" w:rsidRDefault="00F41AA7" w:rsidP="006C45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F41AA7">
              <w:rPr>
                <w:rFonts w:ascii="Times New Roman" w:hAnsi="Times New Roman" w:cs="Times New Roman"/>
                <w:b/>
                <w:u w:val="single"/>
              </w:rPr>
              <w:t>193,600</w:t>
            </w:r>
          </w:p>
        </w:tc>
      </w:tr>
    </w:tbl>
    <w:p w14:paraId="31C960FA" w14:textId="77777777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00B5C79" w14:textId="2EE76CF8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F4C25DB" w14:textId="27553281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A7F40BB" w14:textId="4EE2EC72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295B930" w14:textId="74EE563A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66EEF92" w14:textId="18E9A1A9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5EBA058" w14:textId="4B73228A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B00E86B" w14:textId="77777777" w:rsidR="00F41AA7" w:rsidRDefault="00F41AA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7D553CF" w14:textId="77777777" w:rsidR="00B432B1" w:rsidRPr="006E78C7" w:rsidRDefault="00B432B1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6E78C7">
        <w:rPr>
          <w:rFonts w:ascii="Times New Roman" w:hAnsi="Times New Roman" w:cs="Times New Roman"/>
          <w:b/>
        </w:rPr>
        <w:t xml:space="preserve">Exercises </w:t>
      </w:r>
      <w:r w:rsidR="00C0077E">
        <w:rPr>
          <w:rFonts w:ascii="Times New Roman" w:hAnsi="Times New Roman" w:cs="Times New Roman"/>
          <w:b/>
        </w:rPr>
        <w:t>2</w:t>
      </w:r>
      <w:r w:rsidRPr="006E78C7">
        <w:rPr>
          <w:rFonts w:ascii="Times New Roman" w:hAnsi="Times New Roman" w:cs="Times New Roman"/>
          <w:b/>
        </w:rPr>
        <w:t>:</w:t>
      </w:r>
    </w:p>
    <w:p w14:paraId="6DFCED4F" w14:textId="77777777" w:rsidR="000A58C4" w:rsidRPr="006E78C7" w:rsidRDefault="000A58C4" w:rsidP="00B432B1">
      <w:pPr>
        <w:spacing w:line="360" w:lineRule="auto"/>
        <w:jc w:val="both"/>
        <w:rPr>
          <w:rFonts w:ascii="Times New Roman" w:hAnsi="Times New Roman" w:cs="Times New Roman"/>
        </w:rPr>
      </w:pPr>
      <w:r w:rsidRPr="006E78C7">
        <w:rPr>
          <w:rFonts w:ascii="Times New Roman" w:hAnsi="Times New Roman" w:cs="Times New Roman"/>
        </w:rPr>
        <w:t xml:space="preserve">The Markowitz Company produces three products: Alpha, Beta, and </w:t>
      </w:r>
      <w:proofErr w:type="spellStart"/>
      <w:r w:rsidRPr="006E78C7">
        <w:rPr>
          <w:rFonts w:ascii="Times New Roman" w:hAnsi="Times New Roman" w:cs="Times New Roman"/>
        </w:rPr>
        <w:t>Zeba</w:t>
      </w:r>
      <w:proofErr w:type="spellEnd"/>
      <w:r w:rsidRPr="006E78C7">
        <w:rPr>
          <w:rFonts w:ascii="Times New Roman" w:hAnsi="Times New Roman" w:cs="Times New Roman"/>
        </w:rPr>
        <w:t xml:space="preserve">. The company expects to produce </w:t>
      </w:r>
      <w:r w:rsidRPr="002B234A">
        <w:rPr>
          <w:rFonts w:ascii="Times New Roman" w:hAnsi="Times New Roman" w:cs="Times New Roman"/>
          <w:highlight w:val="yellow"/>
        </w:rPr>
        <w:t xml:space="preserve">1,000 Alphas, 3,400 Betas, and 600 </w:t>
      </w:r>
      <w:proofErr w:type="spellStart"/>
      <w:r w:rsidRPr="002B234A">
        <w:rPr>
          <w:rFonts w:ascii="Times New Roman" w:hAnsi="Times New Roman" w:cs="Times New Roman"/>
          <w:highlight w:val="yellow"/>
        </w:rPr>
        <w:t>Zebas</w:t>
      </w:r>
      <w:proofErr w:type="spellEnd"/>
      <w:r w:rsidRPr="002B234A">
        <w:rPr>
          <w:rFonts w:ascii="Times New Roman" w:hAnsi="Times New Roman" w:cs="Times New Roman"/>
          <w:highlight w:val="yellow"/>
        </w:rPr>
        <w:t xml:space="preserve"> in fiscal year 2000.</w:t>
      </w:r>
      <w:r w:rsidRPr="006E78C7">
        <w:rPr>
          <w:rFonts w:ascii="Times New Roman" w:hAnsi="Times New Roman" w:cs="Times New Roman"/>
        </w:rPr>
        <w:t xml:space="preserve"> </w:t>
      </w:r>
    </w:p>
    <w:p w14:paraId="1B28E9FC" w14:textId="77777777" w:rsidR="00A55B69" w:rsidRPr="006E78C7" w:rsidRDefault="00A55B69" w:rsidP="00B432B1">
      <w:pPr>
        <w:spacing w:line="360" w:lineRule="auto"/>
        <w:jc w:val="both"/>
        <w:rPr>
          <w:rFonts w:ascii="Times New Roman" w:hAnsi="Times New Roman" w:cs="Times New Roman"/>
        </w:rPr>
      </w:pPr>
      <w:r w:rsidRPr="006E78C7">
        <w:rPr>
          <w:rFonts w:ascii="Times New Roman" w:hAnsi="Times New Roman" w:cs="Times New Roman"/>
        </w:rPr>
        <w:t>Budgeted (Estimated) Overhead Data For 1999: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24C8" w:rsidRPr="006E78C7" w14:paraId="7EFDC794" w14:textId="77777777" w:rsidTr="000324C8">
        <w:tc>
          <w:tcPr>
            <w:tcW w:w="1870" w:type="dxa"/>
          </w:tcPr>
          <w:p w14:paraId="0BA52CCF" w14:textId="77777777" w:rsidR="000324C8" w:rsidRPr="006E78C7" w:rsidRDefault="000324C8" w:rsidP="000324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870" w:type="dxa"/>
          </w:tcPr>
          <w:p w14:paraId="5AB4C6E2" w14:textId="77777777" w:rsidR="000324C8" w:rsidRPr="006E78C7" w:rsidRDefault="000324C8" w:rsidP="000324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Machine</w:t>
            </w:r>
          </w:p>
          <w:p w14:paraId="643EA317" w14:textId="77777777" w:rsidR="000324C8" w:rsidRPr="006E78C7" w:rsidRDefault="000324C8" w:rsidP="000324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Setups</w:t>
            </w:r>
          </w:p>
        </w:tc>
        <w:tc>
          <w:tcPr>
            <w:tcW w:w="1870" w:type="dxa"/>
          </w:tcPr>
          <w:p w14:paraId="5203A523" w14:textId="77777777" w:rsidR="000324C8" w:rsidRPr="006E78C7" w:rsidRDefault="000324C8" w:rsidP="000324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Engineering Changes</w:t>
            </w:r>
          </w:p>
        </w:tc>
        <w:tc>
          <w:tcPr>
            <w:tcW w:w="1870" w:type="dxa"/>
          </w:tcPr>
          <w:p w14:paraId="70E30C40" w14:textId="77777777" w:rsidR="000324C8" w:rsidRPr="006E78C7" w:rsidRDefault="000324C8" w:rsidP="000324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Inspect. &amp; Packing</w:t>
            </w:r>
          </w:p>
        </w:tc>
        <w:tc>
          <w:tcPr>
            <w:tcW w:w="1870" w:type="dxa"/>
          </w:tcPr>
          <w:p w14:paraId="5159D99A" w14:textId="77777777" w:rsidR="000324C8" w:rsidRPr="006E78C7" w:rsidRDefault="000324C8" w:rsidP="000324C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Total Overhead ’s</w:t>
            </w:r>
          </w:p>
        </w:tc>
      </w:tr>
      <w:tr w:rsidR="000324C8" w:rsidRPr="006E78C7" w14:paraId="71BD167F" w14:textId="77777777" w:rsidTr="000324C8">
        <w:tc>
          <w:tcPr>
            <w:tcW w:w="1870" w:type="dxa"/>
          </w:tcPr>
          <w:p w14:paraId="68DE626A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Overhead Dollars:</w:t>
            </w:r>
          </w:p>
        </w:tc>
        <w:tc>
          <w:tcPr>
            <w:tcW w:w="1870" w:type="dxa"/>
          </w:tcPr>
          <w:p w14:paraId="36725AD8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$170,000</w:t>
            </w:r>
          </w:p>
        </w:tc>
        <w:tc>
          <w:tcPr>
            <w:tcW w:w="1870" w:type="dxa"/>
          </w:tcPr>
          <w:p w14:paraId="5C13DE3E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$320,000</w:t>
            </w:r>
          </w:p>
        </w:tc>
        <w:tc>
          <w:tcPr>
            <w:tcW w:w="1870" w:type="dxa"/>
          </w:tcPr>
          <w:p w14:paraId="0141DF32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$470,000</w:t>
            </w:r>
          </w:p>
        </w:tc>
        <w:tc>
          <w:tcPr>
            <w:tcW w:w="1870" w:type="dxa"/>
          </w:tcPr>
          <w:p w14:paraId="571C3F81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$960,000</w:t>
            </w:r>
          </w:p>
        </w:tc>
      </w:tr>
      <w:tr w:rsidR="000324C8" w:rsidRPr="006E78C7" w14:paraId="1C6B30F8" w14:textId="77777777" w:rsidTr="000324C8">
        <w:tc>
          <w:tcPr>
            <w:tcW w:w="1870" w:type="dxa"/>
          </w:tcPr>
          <w:p w14:paraId="7E14FB3F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5F79C7F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73B6A50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0D6A3F0E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0" w:type="dxa"/>
          </w:tcPr>
          <w:p w14:paraId="4001B435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0324C8" w:rsidRPr="006E78C7" w14:paraId="250CE574" w14:textId="77777777" w:rsidTr="000324C8">
        <w:tc>
          <w:tcPr>
            <w:tcW w:w="1870" w:type="dxa"/>
          </w:tcPr>
          <w:p w14:paraId="57425A28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Activity Levels:</w:t>
            </w:r>
          </w:p>
        </w:tc>
        <w:tc>
          <w:tcPr>
            <w:tcW w:w="1870" w:type="dxa"/>
          </w:tcPr>
          <w:p w14:paraId="278995FC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34 setups</w:t>
            </w:r>
          </w:p>
        </w:tc>
        <w:tc>
          <w:tcPr>
            <w:tcW w:w="1870" w:type="dxa"/>
          </w:tcPr>
          <w:p w14:paraId="644BBC23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 xml:space="preserve">400 Eng. </w:t>
            </w:r>
            <w:proofErr w:type="spellStart"/>
            <w:r w:rsidRPr="006E78C7">
              <w:rPr>
                <w:rFonts w:ascii="Times New Roman" w:hAnsi="Times New Roman" w:cs="Times New Roman"/>
              </w:rPr>
              <w:t>Chgs</w:t>
            </w:r>
            <w:proofErr w:type="spellEnd"/>
          </w:p>
        </w:tc>
        <w:tc>
          <w:tcPr>
            <w:tcW w:w="1870" w:type="dxa"/>
          </w:tcPr>
          <w:p w14:paraId="487D7184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5,000 units</w:t>
            </w:r>
          </w:p>
        </w:tc>
        <w:tc>
          <w:tcPr>
            <w:tcW w:w="1870" w:type="dxa"/>
          </w:tcPr>
          <w:p w14:paraId="0F78B6E3" w14:textId="77777777" w:rsidR="000324C8" w:rsidRPr="006E78C7" w:rsidRDefault="000324C8" w:rsidP="00B432B1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ACB5573" w14:textId="77777777" w:rsidR="000324C8" w:rsidRDefault="000324C8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59A1376" w14:textId="77777777" w:rsidR="000B0EF4" w:rsidRPr="006E78C7" w:rsidRDefault="000B0EF4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2E98B47" w14:textId="77777777" w:rsidR="000324C8" w:rsidRDefault="000324C8" w:rsidP="00B432B1">
      <w:pPr>
        <w:spacing w:line="360" w:lineRule="auto"/>
        <w:jc w:val="both"/>
        <w:rPr>
          <w:rFonts w:ascii="Times New Roman" w:hAnsi="Times New Roman" w:cs="Times New Roman"/>
        </w:rPr>
      </w:pPr>
      <w:r w:rsidRPr="006E78C7">
        <w:rPr>
          <w:rFonts w:ascii="Times New Roman" w:hAnsi="Times New Roman" w:cs="Times New Roman"/>
        </w:rPr>
        <w:t>Based on an analysis of the three overhead activities, it was estimated that the three products would require these activities as follows in fiscal year 2000: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710"/>
        <w:gridCol w:w="1440"/>
        <w:gridCol w:w="1795"/>
      </w:tblGrid>
      <w:tr w:rsidR="002B234A" w:rsidRPr="006E78C7" w14:paraId="324219A2" w14:textId="77777777" w:rsidTr="00A65EFD">
        <w:tc>
          <w:tcPr>
            <w:tcW w:w="2515" w:type="dxa"/>
          </w:tcPr>
          <w:p w14:paraId="349114D6" w14:textId="77777777" w:rsidR="002B234A" w:rsidRPr="006E78C7" w:rsidRDefault="002B234A" w:rsidP="00A6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1890" w:type="dxa"/>
          </w:tcPr>
          <w:p w14:paraId="3CD91AC0" w14:textId="77777777" w:rsidR="002B234A" w:rsidRPr="006E78C7" w:rsidRDefault="002B234A" w:rsidP="00A6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Alphas</w:t>
            </w:r>
          </w:p>
        </w:tc>
        <w:tc>
          <w:tcPr>
            <w:tcW w:w="1710" w:type="dxa"/>
          </w:tcPr>
          <w:p w14:paraId="6FE41CC0" w14:textId="77777777" w:rsidR="002B234A" w:rsidRPr="006E78C7" w:rsidRDefault="002B234A" w:rsidP="00A6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Betas</w:t>
            </w:r>
          </w:p>
        </w:tc>
        <w:tc>
          <w:tcPr>
            <w:tcW w:w="1440" w:type="dxa"/>
          </w:tcPr>
          <w:p w14:paraId="1D2FEC43" w14:textId="77777777" w:rsidR="002B234A" w:rsidRPr="006E78C7" w:rsidRDefault="002B234A" w:rsidP="00A6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E78C7">
              <w:rPr>
                <w:rFonts w:ascii="Times New Roman" w:hAnsi="Times New Roman" w:cs="Times New Roman"/>
                <w:b/>
              </w:rPr>
              <w:t>Zebas</w:t>
            </w:r>
            <w:proofErr w:type="spellEnd"/>
          </w:p>
        </w:tc>
        <w:tc>
          <w:tcPr>
            <w:tcW w:w="1795" w:type="dxa"/>
          </w:tcPr>
          <w:p w14:paraId="52877937" w14:textId="77777777" w:rsidR="002B234A" w:rsidRPr="006E78C7" w:rsidRDefault="002B234A" w:rsidP="00A6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Overall Totals</w:t>
            </w:r>
          </w:p>
        </w:tc>
      </w:tr>
      <w:tr w:rsidR="002B234A" w:rsidRPr="006E78C7" w14:paraId="76A7432A" w14:textId="77777777" w:rsidTr="00A65EFD">
        <w:tc>
          <w:tcPr>
            <w:tcW w:w="2515" w:type="dxa"/>
          </w:tcPr>
          <w:p w14:paraId="2CDE2FD9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Machine Setups</w:t>
            </w:r>
          </w:p>
        </w:tc>
        <w:tc>
          <w:tcPr>
            <w:tcW w:w="1890" w:type="dxa"/>
          </w:tcPr>
          <w:p w14:paraId="62DE630F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5 setups</w:t>
            </w:r>
          </w:p>
        </w:tc>
        <w:tc>
          <w:tcPr>
            <w:tcW w:w="1710" w:type="dxa"/>
          </w:tcPr>
          <w:p w14:paraId="088B1E61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9 setups</w:t>
            </w:r>
          </w:p>
        </w:tc>
        <w:tc>
          <w:tcPr>
            <w:tcW w:w="1440" w:type="dxa"/>
          </w:tcPr>
          <w:p w14:paraId="5C19203D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20 setups</w:t>
            </w:r>
          </w:p>
        </w:tc>
        <w:tc>
          <w:tcPr>
            <w:tcW w:w="1795" w:type="dxa"/>
          </w:tcPr>
          <w:p w14:paraId="4AF6BC6B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34 setups</w:t>
            </w:r>
          </w:p>
        </w:tc>
      </w:tr>
      <w:tr w:rsidR="002B234A" w:rsidRPr="006E78C7" w14:paraId="08F70D57" w14:textId="77777777" w:rsidTr="00A65EFD">
        <w:tc>
          <w:tcPr>
            <w:tcW w:w="2515" w:type="dxa"/>
          </w:tcPr>
          <w:p w14:paraId="09C88A7D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</w:tcPr>
          <w:p w14:paraId="6D7583FF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14:paraId="5055BC61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0428C110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5" w:type="dxa"/>
          </w:tcPr>
          <w:p w14:paraId="2A8344E7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B234A" w:rsidRPr="006E78C7" w14:paraId="00652F7C" w14:textId="77777777" w:rsidTr="00A65EFD">
        <w:tc>
          <w:tcPr>
            <w:tcW w:w="2515" w:type="dxa"/>
          </w:tcPr>
          <w:p w14:paraId="08C777A9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Engineering Changes</w:t>
            </w:r>
          </w:p>
        </w:tc>
        <w:tc>
          <w:tcPr>
            <w:tcW w:w="1890" w:type="dxa"/>
          </w:tcPr>
          <w:p w14:paraId="67463295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140 changes</w:t>
            </w:r>
          </w:p>
        </w:tc>
        <w:tc>
          <w:tcPr>
            <w:tcW w:w="1710" w:type="dxa"/>
          </w:tcPr>
          <w:p w14:paraId="0B0F7412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8 changes</w:t>
            </w:r>
          </w:p>
        </w:tc>
        <w:tc>
          <w:tcPr>
            <w:tcW w:w="1440" w:type="dxa"/>
          </w:tcPr>
          <w:p w14:paraId="6AE48644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252 changes</w:t>
            </w:r>
          </w:p>
        </w:tc>
        <w:tc>
          <w:tcPr>
            <w:tcW w:w="1795" w:type="dxa"/>
          </w:tcPr>
          <w:p w14:paraId="5BFFD397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400 changes</w:t>
            </w:r>
          </w:p>
        </w:tc>
      </w:tr>
      <w:tr w:rsidR="002B234A" w:rsidRPr="006E78C7" w14:paraId="2AB435FB" w14:textId="77777777" w:rsidTr="00A65EFD">
        <w:tc>
          <w:tcPr>
            <w:tcW w:w="2515" w:type="dxa"/>
          </w:tcPr>
          <w:p w14:paraId="44DB638A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</w:tcPr>
          <w:p w14:paraId="2F868784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10" w:type="dxa"/>
          </w:tcPr>
          <w:p w14:paraId="5709A7C5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14:paraId="28762216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5" w:type="dxa"/>
          </w:tcPr>
          <w:p w14:paraId="57066096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B234A" w:rsidRPr="006E78C7" w14:paraId="41E2B7F2" w14:textId="77777777" w:rsidTr="00A65EFD">
        <w:tc>
          <w:tcPr>
            <w:tcW w:w="2515" w:type="dxa"/>
          </w:tcPr>
          <w:p w14:paraId="5E87AFB4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Inspection &amp; Packing*</w:t>
            </w:r>
          </w:p>
        </w:tc>
        <w:tc>
          <w:tcPr>
            <w:tcW w:w="1890" w:type="dxa"/>
          </w:tcPr>
          <w:p w14:paraId="166C7E36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1,000 units</w:t>
            </w:r>
          </w:p>
        </w:tc>
        <w:tc>
          <w:tcPr>
            <w:tcW w:w="1710" w:type="dxa"/>
          </w:tcPr>
          <w:p w14:paraId="5B328DB8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3,400 units</w:t>
            </w:r>
          </w:p>
        </w:tc>
        <w:tc>
          <w:tcPr>
            <w:tcW w:w="1440" w:type="dxa"/>
          </w:tcPr>
          <w:p w14:paraId="3D73BD36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600 units</w:t>
            </w:r>
          </w:p>
        </w:tc>
        <w:tc>
          <w:tcPr>
            <w:tcW w:w="1795" w:type="dxa"/>
          </w:tcPr>
          <w:p w14:paraId="1C2E93A4" w14:textId="77777777" w:rsidR="002B234A" w:rsidRPr="006E78C7" w:rsidRDefault="002B234A" w:rsidP="00A65E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5,000 units</w:t>
            </w:r>
          </w:p>
        </w:tc>
      </w:tr>
    </w:tbl>
    <w:p w14:paraId="31B78FB0" w14:textId="77777777" w:rsidR="002B234A" w:rsidRPr="006E78C7" w:rsidRDefault="002B234A" w:rsidP="00B432B1">
      <w:pPr>
        <w:spacing w:line="360" w:lineRule="auto"/>
        <w:jc w:val="both"/>
        <w:rPr>
          <w:rFonts w:ascii="Times New Roman" w:hAnsi="Times New Roman" w:cs="Times New Roman"/>
        </w:rPr>
      </w:pPr>
    </w:p>
    <w:p w14:paraId="6A10256E" w14:textId="77777777" w:rsidR="000324C8" w:rsidRPr="006E78C7" w:rsidRDefault="00123EFD" w:rsidP="00B432B1">
      <w:pPr>
        <w:spacing w:line="360" w:lineRule="auto"/>
        <w:jc w:val="both"/>
        <w:rPr>
          <w:rFonts w:ascii="Times New Roman" w:hAnsi="Times New Roman" w:cs="Times New Roman"/>
        </w:rPr>
      </w:pPr>
      <w:r w:rsidRPr="006E78C7">
        <w:rPr>
          <w:rFonts w:ascii="Times New Roman" w:hAnsi="Times New Roman" w:cs="Times New Roman"/>
        </w:rPr>
        <w:t>*All units of each product are individually inspected and packed.</w:t>
      </w:r>
    </w:p>
    <w:p w14:paraId="0878ECA4" w14:textId="77777777" w:rsidR="00123EFD" w:rsidRPr="006E78C7" w:rsidRDefault="00123EFD" w:rsidP="00B432B1">
      <w:pPr>
        <w:spacing w:line="360" w:lineRule="auto"/>
        <w:jc w:val="both"/>
        <w:rPr>
          <w:rFonts w:ascii="Times New Roman" w:hAnsi="Times New Roman" w:cs="Times New Roman"/>
        </w:rPr>
      </w:pPr>
      <w:r w:rsidRPr="006E78C7">
        <w:rPr>
          <w:rFonts w:ascii="Times New Roman" w:hAnsi="Times New Roman" w:cs="Times New Roman"/>
        </w:rPr>
        <w:t>The direct material and direct labor costs included in the three products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890"/>
        <w:gridCol w:w="1710"/>
        <w:gridCol w:w="1440"/>
      </w:tblGrid>
      <w:tr w:rsidR="00123EFD" w:rsidRPr="006E78C7" w14:paraId="653A888A" w14:textId="77777777" w:rsidTr="00123EFD">
        <w:trPr>
          <w:trHeight w:val="323"/>
        </w:trPr>
        <w:tc>
          <w:tcPr>
            <w:tcW w:w="2515" w:type="dxa"/>
          </w:tcPr>
          <w:p w14:paraId="221B16D6" w14:textId="77777777" w:rsidR="00123EFD" w:rsidRPr="006E78C7" w:rsidRDefault="00123EFD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lastRenderedPageBreak/>
              <w:t>Item</w:t>
            </w:r>
          </w:p>
        </w:tc>
        <w:tc>
          <w:tcPr>
            <w:tcW w:w="1890" w:type="dxa"/>
          </w:tcPr>
          <w:p w14:paraId="0447DF9F" w14:textId="77777777" w:rsidR="00123EFD" w:rsidRPr="006E78C7" w:rsidRDefault="00123EFD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Alphas</w:t>
            </w:r>
          </w:p>
        </w:tc>
        <w:tc>
          <w:tcPr>
            <w:tcW w:w="1710" w:type="dxa"/>
          </w:tcPr>
          <w:p w14:paraId="545A7C00" w14:textId="77777777" w:rsidR="00123EFD" w:rsidRPr="006E78C7" w:rsidRDefault="00123EFD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  <w:b/>
              </w:rPr>
              <w:t>Betas</w:t>
            </w:r>
          </w:p>
        </w:tc>
        <w:tc>
          <w:tcPr>
            <w:tcW w:w="1440" w:type="dxa"/>
          </w:tcPr>
          <w:p w14:paraId="2E53F068" w14:textId="77777777" w:rsidR="00123EFD" w:rsidRPr="006E78C7" w:rsidRDefault="00123EFD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E78C7">
              <w:rPr>
                <w:rFonts w:ascii="Times New Roman" w:hAnsi="Times New Roman" w:cs="Times New Roman"/>
                <w:b/>
              </w:rPr>
              <w:t>Zebas</w:t>
            </w:r>
            <w:proofErr w:type="spellEnd"/>
          </w:p>
        </w:tc>
      </w:tr>
      <w:tr w:rsidR="00123EFD" w:rsidRPr="006E78C7" w14:paraId="63E40005" w14:textId="77777777" w:rsidTr="009C5520">
        <w:tc>
          <w:tcPr>
            <w:tcW w:w="2515" w:type="dxa"/>
          </w:tcPr>
          <w:p w14:paraId="11951045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Direct Material (per unit)</w:t>
            </w:r>
          </w:p>
        </w:tc>
        <w:tc>
          <w:tcPr>
            <w:tcW w:w="1890" w:type="dxa"/>
          </w:tcPr>
          <w:p w14:paraId="1E9DDD64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$680</w:t>
            </w:r>
          </w:p>
        </w:tc>
        <w:tc>
          <w:tcPr>
            <w:tcW w:w="1710" w:type="dxa"/>
          </w:tcPr>
          <w:p w14:paraId="29431341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$300</w:t>
            </w:r>
          </w:p>
        </w:tc>
        <w:tc>
          <w:tcPr>
            <w:tcW w:w="1440" w:type="dxa"/>
          </w:tcPr>
          <w:p w14:paraId="0D467ADC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$730</w:t>
            </w:r>
          </w:p>
        </w:tc>
      </w:tr>
      <w:tr w:rsidR="00123EFD" w:rsidRPr="006E78C7" w14:paraId="4CD39A4F" w14:textId="77777777" w:rsidTr="009C5520">
        <w:tc>
          <w:tcPr>
            <w:tcW w:w="2515" w:type="dxa"/>
          </w:tcPr>
          <w:p w14:paraId="3CE19F33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Direct Labor (per unit)</w:t>
            </w:r>
          </w:p>
        </w:tc>
        <w:tc>
          <w:tcPr>
            <w:tcW w:w="1890" w:type="dxa"/>
          </w:tcPr>
          <w:p w14:paraId="36A54A22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$900</w:t>
            </w:r>
          </w:p>
        </w:tc>
        <w:tc>
          <w:tcPr>
            <w:tcW w:w="1710" w:type="dxa"/>
          </w:tcPr>
          <w:p w14:paraId="7E19D5B0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$560</w:t>
            </w:r>
          </w:p>
        </w:tc>
        <w:tc>
          <w:tcPr>
            <w:tcW w:w="1440" w:type="dxa"/>
          </w:tcPr>
          <w:p w14:paraId="4027AAE3" w14:textId="77777777" w:rsidR="00123EFD" w:rsidRPr="006E78C7" w:rsidRDefault="00854B47" w:rsidP="009C55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E78C7">
              <w:rPr>
                <w:rFonts w:ascii="Times New Roman" w:hAnsi="Times New Roman" w:cs="Times New Roman"/>
              </w:rPr>
              <w:t>$850</w:t>
            </w:r>
          </w:p>
        </w:tc>
      </w:tr>
    </w:tbl>
    <w:p w14:paraId="6CD3AC5A" w14:textId="77777777" w:rsidR="00123EFD" w:rsidRPr="006E78C7" w:rsidRDefault="00123EFD" w:rsidP="00B432B1">
      <w:pPr>
        <w:spacing w:line="360" w:lineRule="auto"/>
        <w:jc w:val="both"/>
        <w:rPr>
          <w:rFonts w:ascii="Times New Roman" w:hAnsi="Times New Roman" w:cs="Times New Roman"/>
        </w:rPr>
      </w:pPr>
    </w:p>
    <w:p w14:paraId="0F87E8DE" w14:textId="77777777" w:rsidR="00854B47" w:rsidRPr="006E78C7" w:rsidRDefault="00854B47" w:rsidP="00B432B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6E78C7">
        <w:rPr>
          <w:rFonts w:ascii="Times New Roman" w:hAnsi="Times New Roman" w:cs="Times New Roman"/>
          <w:b/>
        </w:rPr>
        <w:t>Required:</w:t>
      </w:r>
    </w:p>
    <w:p w14:paraId="6BFD3CFA" w14:textId="77777777" w:rsidR="000B0EF4" w:rsidRPr="000B0EF4" w:rsidRDefault="00854B47" w:rsidP="000B0EF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0B0EF4">
        <w:rPr>
          <w:rFonts w:ascii="Times New Roman" w:hAnsi="Times New Roman" w:cs="Times New Roman"/>
        </w:rPr>
        <w:t>Calculate the activity cost rates for (1) setups, (2) engineering changes and (3) inspection and packing.</w:t>
      </w:r>
    </w:p>
    <w:p w14:paraId="6D1922BA" w14:textId="77777777" w:rsidR="00C0077E" w:rsidRDefault="00854B47" w:rsidP="006E6C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0B0EF4">
        <w:rPr>
          <w:rFonts w:ascii="Times New Roman" w:hAnsi="Times New Roman" w:cs="Times New Roman"/>
        </w:rPr>
        <w:t>Cost out the three products using an activity-based costing system.</w:t>
      </w:r>
      <w:r w:rsidR="006E6CD8">
        <w:rPr>
          <w:rFonts w:ascii="Times New Roman" w:hAnsi="Times New Roman" w:cs="Times New Roman"/>
          <w:b/>
        </w:rPr>
        <w:t xml:space="preserve"> </w:t>
      </w:r>
    </w:p>
    <w:p w14:paraId="78562696" w14:textId="77777777" w:rsidR="00C0077E" w:rsidRDefault="00C0077E" w:rsidP="009D072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C1353C9" w14:textId="77777777" w:rsidR="00C0077E" w:rsidRDefault="00C0077E" w:rsidP="009D072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C821346" w14:textId="77777777" w:rsidR="00C0077E" w:rsidRDefault="00C0077E" w:rsidP="009D072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52A2253" w14:textId="77777777" w:rsidR="00C0077E" w:rsidRDefault="00C0077E" w:rsidP="009D072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C737EFB" w14:textId="77777777" w:rsidR="00C0077E" w:rsidRDefault="00C0077E" w:rsidP="009D072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5DB18D5" w14:textId="77777777" w:rsidR="00C0077E" w:rsidRDefault="00C0077E" w:rsidP="009D072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01547F52" w14:textId="77777777" w:rsidR="00C0077E" w:rsidRDefault="00C0077E" w:rsidP="009D072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21A51B66" w14:textId="77777777" w:rsidR="00064F0B" w:rsidRDefault="00064F0B">
      <w:pPr>
        <w:rPr>
          <w:rFonts w:ascii="Times New Roman" w:hAnsi="Times New Roman" w:cs="Times New Roman"/>
          <w:b/>
        </w:rPr>
      </w:pPr>
    </w:p>
    <w:p w14:paraId="5618CAC8" w14:textId="77777777" w:rsidR="00070264" w:rsidRDefault="0007026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3:</w:t>
      </w:r>
    </w:p>
    <w:p w14:paraId="10283EE0" w14:textId="77777777" w:rsidR="00070264" w:rsidRDefault="00070264" w:rsidP="00070264">
      <w:pPr>
        <w:spacing w:line="360" w:lineRule="auto"/>
        <w:jc w:val="both"/>
      </w:pPr>
      <w:r>
        <w:t xml:space="preserve">The Columbus Company produces only two products: a major computer part and cell phones. The company uses a normal cost system and overhead costs are currently allocated using a plant-wide overhead rate based on direct labor hours. Outside cost consultants have recommended, however, that the company use activity-based costing to charge overhead to products. The company expects to produce 4,000 computer parts and 2,000 cell phones in 1999. Each computer part requires two direct labor hours to </w:t>
      </w:r>
      <w:proofErr w:type="gramStart"/>
      <w:r>
        <w:t>produce</w:t>
      </w:r>
      <w:proofErr w:type="gramEnd"/>
      <w:r>
        <w:t xml:space="preserve"> and each cell phone requires one-half hour to produce. The direct material and direct labor costs included in the two products are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919"/>
        <w:gridCol w:w="2520"/>
      </w:tblGrid>
      <w:tr w:rsidR="00070264" w14:paraId="0A077FC3" w14:textId="77777777" w:rsidTr="00070264">
        <w:trPr>
          <w:jc w:val="center"/>
        </w:trPr>
        <w:tc>
          <w:tcPr>
            <w:tcW w:w="3116" w:type="dxa"/>
          </w:tcPr>
          <w:p w14:paraId="7300DBDB" w14:textId="77777777" w:rsidR="00070264" w:rsidRDefault="00070264" w:rsidP="000702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70264"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1919" w:type="dxa"/>
          </w:tcPr>
          <w:p w14:paraId="02FF6184" w14:textId="77777777" w:rsidR="00070264" w:rsidRPr="00070264" w:rsidRDefault="00070264" w:rsidP="000702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0264">
              <w:rPr>
                <w:rFonts w:ascii="Times New Roman" w:hAnsi="Times New Roman" w:cs="Times New Roman"/>
              </w:rPr>
              <w:t>Computer Part</w:t>
            </w:r>
          </w:p>
        </w:tc>
        <w:tc>
          <w:tcPr>
            <w:tcW w:w="2520" w:type="dxa"/>
          </w:tcPr>
          <w:p w14:paraId="1A4CA94C" w14:textId="77777777" w:rsidR="00070264" w:rsidRPr="00070264" w:rsidRDefault="00070264" w:rsidP="000702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70264">
              <w:t>Cell-Phone</w:t>
            </w:r>
            <w:proofErr w:type="gramEnd"/>
          </w:p>
        </w:tc>
      </w:tr>
      <w:tr w:rsidR="00070264" w14:paraId="2A6ADDFE" w14:textId="77777777" w:rsidTr="00070264">
        <w:trPr>
          <w:jc w:val="center"/>
        </w:trPr>
        <w:tc>
          <w:tcPr>
            <w:tcW w:w="3116" w:type="dxa"/>
          </w:tcPr>
          <w:p w14:paraId="5CBD1A54" w14:textId="77777777" w:rsidR="00070264" w:rsidRDefault="00070264" w:rsidP="000702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70264">
              <w:rPr>
                <w:rFonts w:ascii="Times New Roman" w:hAnsi="Times New Roman" w:cs="Times New Roman"/>
                <w:b/>
              </w:rPr>
              <w:t>Direct Material (per</w:t>
            </w:r>
            <w:r>
              <w:rPr>
                <w:rFonts w:ascii="Times New Roman" w:hAnsi="Times New Roman" w:cs="Times New Roman"/>
                <w:b/>
              </w:rPr>
              <w:t xml:space="preserve"> units)</w:t>
            </w:r>
          </w:p>
        </w:tc>
        <w:tc>
          <w:tcPr>
            <w:tcW w:w="1919" w:type="dxa"/>
          </w:tcPr>
          <w:p w14:paraId="5DA7F516" w14:textId="77777777" w:rsidR="00070264" w:rsidRPr="00070264" w:rsidRDefault="00070264" w:rsidP="000702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0264">
              <w:rPr>
                <w:rFonts w:ascii="Times New Roman" w:hAnsi="Times New Roman" w:cs="Times New Roman"/>
              </w:rPr>
              <w:t>$30</w:t>
            </w:r>
          </w:p>
        </w:tc>
        <w:tc>
          <w:tcPr>
            <w:tcW w:w="2520" w:type="dxa"/>
          </w:tcPr>
          <w:p w14:paraId="0F722E67" w14:textId="77777777" w:rsidR="00070264" w:rsidRPr="00070264" w:rsidRDefault="00070264" w:rsidP="000702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0264">
              <w:t>$17</w:t>
            </w:r>
          </w:p>
        </w:tc>
      </w:tr>
      <w:tr w:rsidR="00070264" w14:paraId="08ACB9C0" w14:textId="77777777" w:rsidTr="00070264">
        <w:trPr>
          <w:jc w:val="center"/>
        </w:trPr>
        <w:tc>
          <w:tcPr>
            <w:tcW w:w="3116" w:type="dxa"/>
          </w:tcPr>
          <w:p w14:paraId="60D31211" w14:textId="77777777" w:rsidR="00070264" w:rsidRDefault="00070264" w:rsidP="000702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070264">
              <w:rPr>
                <w:rFonts w:ascii="Times New Roman" w:hAnsi="Times New Roman" w:cs="Times New Roman"/>
                <w:b/>
              </w:rPr>
              <w:t>Direct Labor (per unit)</w:t>
            </w:r>
          </w:p>
        </w:tc>
        <w:tc>
          <w:tcPr>
            <w:tcW w:w="1919" w:type="dxa"/>
          </w:tcPr>
          <w:p w14:paraId="1C690A3E" w14:textId="77777777" w:rsidR="00070264" w:rsidRPr="00070264" w:rsidRDefault="00070264" w:rsidP="000702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0264">
              <w:rPr>
                <w:rFonts w:ascii="Times New Roman" w:hAnsi="Times New Roman" w:cs="Times New Roman"/>
              </w:rPr>
              <w:t>$16</w:t>
            </w:r>
          </w:p>
        </w:tc>
        <w:tc>
          <w:tcPr>
            <w:tcW w:w="2520" w:type="dxa"/>
          </w:tcPr>
          <w:p w14:paraId="04BAADDD" w14:textId="77777777" w:rsidR="00070264" w:rsidRPr="00070264" w:rsidRDefault="00070264" w:rsidP="0007026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0264">
              <w:rPr>
                <w:rFonts w:ascii="Times New Roman" w:hAnsi="Times New Roman" w:cs="Times New Roman"/>
              </w:rPr>
              <w:t>$ 4</w:t>
            </w:r>
          </w:p>
        </w:tc>
      </w:tr>
    </w:tbl>
    <w:p w14:paraId="655EB2A5" w14:textId="77777777" w:rsidR="00C03FD8" w:rsidRDefault="00C03FD8" w:rsidP="00070264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7CF8511C" w14:textId="77777777" w:rsidR="00C03FD8" w:rsidRDefault="00C03FD8" w:rsidP="00070264">
      <w:pPr>
        <w:spacing w:line="360" w:lineRule="auto"/>
        <w:jc w:val="both"/>
      </w:pPr>
      <w:r>
        <w:lastRenderedPageBreak/>
        <w:t>Budgeted (Estimated) Total Factory Overhead Data For 1999: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150"/>
        <w:gridCol w:w="2188"/>
        <w:gridCol w:w="2222"/>
      </w:tblGrid>
      <w:tr w:rsidR="00C03FD8" w14:paraId="12F3442F" w14:textId="77777777" w:rsidTr="00873B61">
        <w:tc>
          <w:tcPr>
            <w:tcW w:w="3150" w:type="dxa"/>
          </w:tcPr>
          <w:p w14:paraId="5D4C91F6" w14:textId="77777777" w:rsidR="00C03FD8" w:rsidRPr="00C03FD8" w:rsidRDefault="00C03FD8" w:rsidP="00C03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03FD8">
              <w:rPr>
                <w:b/>
              </w:rPr>
              <w:t>Activity</w:t>
            </w:r>
          </w:p>
        </w:tc>
        <w:tc>
          <w:tcPr>
            <w:tcW w:w="2188" w:type="dxa"/>
          </w:tcPr>
          <w:p w14:paraId="5D886EB2" w14:textId="77777777" w:rsidR="00C03FD8" w:rsidRPr="00C03FD8" w:rsidRDefault="00C03FD8" w:rsidP="00C03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03FD8">
              <w:rPr>
                <w:rFonts w:ascii="Times New Roman" w:hAnsi="Times New Roman" w:cs="Times New Roman"/>
                <w:b/>
              </w:rPr>
              <w:t>Budgeted Overhead Dollars</w:t>
            </w:r>
          </w:p>
        </w:tc>
        <w:tc>
          <w:tcPr>
            <w:tcW w:w="2222" w:type="dxa"/>
          </w:tcPr>
          <w:p w14:paraId="560B84D2" w14:textId="77777777" w:rsidR="00C03FD8" w:rsidRPr="00C03FD8" w:rsidRDefault="00C03FD8" w:rsidP="00C03F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03FD8">
              <w:rPr>
                <w:rFonts w:ascii="Times New Roman" w:hAnsi="Times New Roman" w:cs="Times New Roman"/>
                <w:b/>
              </w:rPr>
              <w:t>Estimated Volume Level</w:t>
            </w:r>
          </w:p>
        </w:tc>
      </w:tr>
      <w:tr w:rsidR="00C03FD8" w14:paraId="3A71F70C" w14:textId="77777777" w:rsidTr="00873B61">
        <w:tc>
          <w:tcPr>
            <w:tcW w:w="3150" w:type="dxa"/>
          </w:tcPr>
          <w:p w14:paraId="198B7506" w14:textId="77777777" w:rsidR="00C03FD8" w:rsidRPr="00C03FD8" w:rsidRDefault="00C03FD8" w:rsidP="000702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03FD8">
              <w:rPr>
                <w:b/>
              </w:rPr>
              <w:t>Production Setups</w:t>
            </w:r>
          </w:p>
        </w:tc>
        <w:tc>
          <w:tcPr>
            <w:tcW w:w="2188" w:type="dxa"/>
          </w:tcPr>
          <w:p w14:paraId="161538A1" w14:textId="77777777" w:rsidR="00C03FD8" w:rsidRPr="00873B61" w:rsidRDefault="00C03FD8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73B61">
              <w:rPr>
                <w:rFonts w:ascii="Times New Roman" w:hAnsi="Times New Roman" w:cs="Times New Roman"/>
              </w:rPr>
              <w:t>$80,000</w:t>
            </w:r>
          </w:p>
        </w:tc>
        <w:tc>
          <w:tcPr>
            <w:tcW w:w="2222" w:type="dxa"/>
          </w:tcPr>
          <w:p w14:paraId="472A3CF9" w14:textId="77777777" w:rsidR="00C03FD8" w:rsidRPr="00873B61" w:rsidRDefault="00C03FD8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73B61">
              <w:t>20 setups</w:t>
            </w:r>
          </w:p>
        </w:tc>
      </w:tr>
      <w:tr w:rsidR="00C03FD8" w14:paraId="033F6070" w14:textId="77777777" w:rsidTr="00873B61">
        <w:tc>
          <w:tcPr>
            <w:tcW w:w="3150" w:type="dxa"/>
          </w:tcPr>
          <w:p w14:paraId="411F51FD" w14:textId="77777777" w:rsidR="00C03FD8" w:rsidRPr="00C03FD8" w:rsidRDefault="00C03FD8" w:rsidP="000702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03FD8">
              <w:rPr>
                <w:rFonts w:ascii="Times New Roman" w:hAnsi="Times New Roman" w:cs="Times New Roman"/>
                <w:b/>
              </w:rPr>
              <w:t>Material Handling</w:t>
            </w:r>
          </w:p>
        </w:tc>
        <w:tc>
          <w:tcPr>
            <w:tcW w:w="2188" w:type="dxa"/>
          </w:tcPr>
          <w:p w14:paraId="69992D73" w14:textId="77777777" w:rsidR="00C03FD8" w:rsidRPr="00873B61" w:rsidRDefault="00C03FD8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73B61">
              <w:t>$70,000</w:t>
            </w:r>
          </w:p>
        </w:tc>
        <w:tc>
          <w:tcPr>
            <w:tcW w:w="2222" w:type="dxa"/>
          </w:tcPr>
          <w:p w14:paraId="34718D1D" w14:textId="77777777" w:rsidR="00C03FD8" w:rsidRPr="00873B61" w:rsidRDefault="00C03FD8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73B61">
              <w:rPr>
                <w:rFonts w:ascii="Times New Roman" w:hAnsi="Times New Roman" w:cs="Times New Roman"/>
              </w:rPr>
              <w:t>5,000 lbs.</w:t>
            </w:r>
          </w:p>
        </w:tc>
      </w:tr>
      <w:tr w:rsidR="00C03FD8" w14:paraId="23063C80" w14:textId="77777777" w:rsidTr="00873B61">
        <w:tc>
          <w:tcPr>
            <w:tcW w:w="3150" w:type="dxa"/>
          </w:tcPr>
          <w:p w14:paraId="3163666E" w14:textId="77777777" w:rsidR="00C03FD8" w:rsidRPr="00C03FD8" w:rsidRDefault="00C03FD8" w:rsidP="00C03FD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03FD8">
              <w:rPr>
                <w:rFonts w:ascii="Times New Roman" w:hAnsi="Times New Roman" w:cs="Times New Roman"/>
                <w:b/>
              </w:rPr>
              <w:t>Packaging and Shipping</w:t>
            </w:r>
          </w:p>
        </w:tc>
        <w:tc>
          <w:tcPr>
            <w:tcW w:w="2188" w:type="dxa"/>
          </w:tcPr>
          <w:p w14:paraId="4D5D5737" w14:textId="77777777" w:rsidR="00C03FD8" w:rsidRPr="00873B61" w:rsidRDefault="00873B61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 xml:space="preserve">$120,000 </w:t>
            </w:r>
          </w:p>
        </w:tc>
        <w:tc>
          <w:tcPr>
            <w:tcW w:w="2222" w:type="dxa"/>
          </w:tcPr>
          <w:p w14:paraId="10E7ADE1" w14:textId="77777777" w:rsidR="00C03FD8" w:rsidRPr="00873B61" w:rsidRDefault="00C03FD8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73B61">
              <w:rPr>
                <w:rFonts w:ascii="Times New Roman" w:hAnsi="Times New Roman" w:cs="Times New Roman"/>
              </w:rPr>
              <w:t>6,000 boxes</w:t>
            </w:r>
          </w:p>
        </w:tc>
      </w:tr>
      <w:tr w:rsidR="00C03FD8" w14:paraId="5D8D7998" w14:textId="77777777" w:rsidTr="00873B61">
        <w:tc>
          <w:tcPr>
            <w:tcW w:w="3150" w:type="dxa"/>
          </w:tcPr>
          <w:p w14:paraId="414BB0F9" w14:textId="77777777" w:rsidR="00C03FD8" w:rsidRPr="00C03FD8" w:rsidRDefault="00C03FD8" w:rsidP="000702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C03FD8">
              <w:rPr>
                <w:b/>
              </w:rPr>
              <w:t>Total Factory Overhead</w:t>
            </w:r>
          </w:p>
        </w:tc>
        <w:tc>
          <w:tcPr>
            <w:tcW w:w="2188" w:type="dxa"/>
          </w:tcPr>
          <w:p w14:paraId="0FD11C53" w14:textId="77777777" w:rsidR="00C03FD8" w:rsidRPr="00873B61" w:rsidRDefault="00C03FD8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73B61">
              <w:t>$270,000</w:t>
            </w:r>
          </w:p>
        </w:tc>
        <w:tc>
          <w:tcPr>
            <w:tcW w:w="2222" w:type="dxa"/>
          </w:tcPr>
          <w:p w14:paraId="643843CA" w14:textId="77777777" w:rsidR="00C03FD8" w:rsidRPr="00873B61" w:rsidRDefault="00C03FD8" w:rsidP="00873B6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77E9490" w14:textId="77777777" w:rsidR="00AF768B" w:rsidRDefault="00AF768B" w:rsidP="00070264">
      <w:pPr>
        <w:spacing w:line="360" w:lineRule="auto"/>
        <w:jc w:val="both"/>
      </w:pPr>
    </w:p>
    <w:p w14:paraId="6E1611B5" w14:textId="77777777" w:rsidR="00AF768B" w:rsidRDefault="00AF768B" w:rsidP="006E6CD8">
      <w:pPr>
        <w:spacing w:line="360" w:lineRule="auto"/>
        <w:jc w:val="both"/>
        <w:rPr>
          <w:b/>
        </w:rPr>
      </w:pPr>
      <w:r>
        <w:t xml:space="preserve">Based on an analysis of the three overhead activities, it was estimated that the two products would require these activities as follows in 1999: </w:t>
      </w:r>
    </w:p>
    <w:p w14:paraId="5FB22BD6" w14:textId="77777777" w:rsidR="00AF768B" w:rsidRPr="00AF768B" w:rsidRDefault="00AF768B" w:rsidP="00070264">
      <w:pPr>
        <w:spacing w:line="360" w:lineRule="auto"/>
        <w:jc w:val="both"/>
        <w:rPr>
          <w:b/>
        </w:rPr>
      </w:pPr>
      <w:r w:rsidRPr="00AF768B">
        <w:rPr>
          <w:b/>
        </w:rPr>
        <w:t xml:space="preserve">Required: </w:t>
      </w:r>
    </w:p>
    <w:p w14:paraId="51489DE9" w14:textId="77777777" w:rsidR="00AF768B" w:rsidRDefault="00AF768B" w:rsidP="001C1777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Calculate the cost of each product using a plant-wide rate based on direct labor hours. </w:t>
      </w:r>
    </w:p>
    <w:p w14:paraId="69DEE66F" w14:textId="77777777" w:rsidR="001C1777" w:rsidRDefault="001C1777" w:rsidP="001C1777">
      <w:pPr>
        <w:pStyle w:val="ListParagraph"/>
        <w:spacing w:line="360" w:lineRule="auto"/>
        <w:jc w:val="both"/>
      </w:pPr>
    </w:p>
    <w:p w14:paraId="273B14A8" w14:textId="77777777" w:rsidR="00AF768B" w:rsidRDefault="00AF768B" w:rsidP="001C1777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Calculate the activity cost rates for (a) setups, (b) material handling and (c) packaging and shipping. </w:t>
      </w:r>
    </w:p>
    <w:sectPr w:rsidR="00AF76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9E7F" w14:textId="77777777" w:rsidR="009B05F8" w:rsidRDefault="009B05F8" w:rsidP="00794E89">
      <w:pPr>
        <w:spacing w:after="0" w:line="240" w:lineRule="auto"/>
      </w:pPr>
      <w:r>
        <w:separator/>
      </w:r>
    </w:p>
  </w:endnote>
  <w:endnote w:type="continuationSeparator" w:id="0">
    <w:p w14:paraId="69CC71DD" w14:textId="77777777" w:rsidR="009B05F8" w:rsidRDefault="009B05F8" w:rsidP="0079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872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D0DBD" w14:textId="77777777" w:rsidR="00794E89" w:rsidRDefault="00794E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CD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D8500EB" w14:textId="77777777" w:rsidR="00794E89" w:rsidRDefault="00794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B274" w14:textId="77777777" w:rsidR="009B05F8" w:rsidRDefault="009B05F8" w:rsidP="00794E89">
      <w:pPr>
        <w:spacing w:after="0" w:line="240" w:lineRule="auto"/>
      </w:pPr>
      <w:r>
        <w:separator/>
      </w:r>
    </w:p>
  </w:footnote>
  <w:footnote w:type="continuationSeparator" w:id="0">
    <w:p w14:paraId="2F29AD5D" w14:textId="77777777" w:rsidR="009B05F8" w:rsidRDefault="009B05F8" w:rsidP="00794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296A"/>
    <w:multiLevelType w:val="hybridMultilevel"/>
    <w:tmpl w:val="EA509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7C4D"/>
    <w:multiLevelType w:val="hybridMultilevel"/>
    <w:tmpl w:val="4E5C7E50"/>
    <w:lvl w:ilvl="0" w:tplc="BAFA89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7057F"/>
    <w:multiLevelType w:val="hybridMultilevel"/>
    <w:tmpl w:val="28C44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B22"/>
    <w:multiLevelType w:val="hybridMultilevel"/>
    <w:tmpl w:val="03BCA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471395">
    <w:abstractNumId w:val="0"/>
  </w:num>
  <w:num w:numId="2" w16cid:durableId="1226574075">
    <w:abstractNumId w:val="1"/>
  </w:num>
  <w:num w:numId="3" w16cid:durableId="1741752635">
    <w:abstractNumId w:val="3"/>
  </w:num>
  <w:num w:numId="4" w16cid:durableId="164636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AA7"/>
    <w:rsid w:val="00004863"/>
    <w:rsid w:val="000324C8"/>
    <w:rsid w:val="000471A9"/>
    <w:rsid w:val="00064F0B"/>
    <w:rsid w:val="00070264"/>
    <w:rsid w:val="00090EE8"/>
    <w:rsid w:val="000A58C4"/>
    <w:rsid w:val="000A5C2B"/>
    <w:rsid w:val="000B0EF4"/>
    <w:rsid w:val="00102373"/>
    <w:rsid w:val="001133A7"/>
    <w:rsid w:val="00123EFD"/>
    <w:rsid w:val="001C1777"/>
    <w:rsid w:val="001C48E3"/>
    <w:rsid w:val="001C7131"/>
    <w:rsid w:val="001D1EFF"/>
    <w:rsid w:val="00270EED"/>
    <w:rsid w:val="00273D51"/>
    <w:rsid w:val="0029651A"/>
    <w:rsid w:val="002B234A"/>
    <w:rsid w:val="002C0ECC"/>
    <w:rsid w:val="002E4F09"/>
    <w:rsid w:val="002F622F"/>
    <w:rsid w:val="00324866"/>
    <w:rsid w:val="003D7968"/>
    <w:rsid w:val="00487686"/>
    <w:rsid w:val="004C4A6C"/>
    <w:rsid w:val="004F6567"/>
    <w:rsid w:val="00572EC0"/>
    <w:rsid w:val="005D2C4A"/>
    <w:rsid w:val="006E6CD8"/>
    <w:rsid w:val="006E78C7"/>
    <w:rsid w:val="00794E89"/>
    <w:rsid w:val="007F7B8A"/>
    <w:rsid w:val="00854B47"/>
    <w:rsid w:val="00873B61"/>
    <w:rsid w:val="008A2A5D"/>
    <w:rsid w:val="008F0DC4"/>
    <w:rsid w:val="009B05F8"/>
    <w:rsid w:val="009D0728"/>
    <w:rsid w:val="009D3922"/>
    <w:rsid w:val="00A55B69"/>
    <w:rsid w:val="00A61F3A"/>
    <w:rsid w:val="00AF768B"/>
    <w:rsid w:val="00B432B1"/>
    <w:rsid w:val="00B971B4"/>
    <w:rsid w:val="00C0056F"/>
    <w:rsid w:val="00C0077E"/>
    <w:rsid w:val="00C03FD8"/>
    <w:rsid w:val="00C27378"/>
    <w:rsid w:val="00C96BC3"/>
    <w:rsid w:val="00CE0353"/>
    <w:rsid w:val="00D23392"/>
    <w:rsid w:val="00DC1807"/>
    <w:rsid w:val="00E07743"/>
    <w:rsid w:val="00E27A2B"/>
    <w:rsid w:val="00F107D9"/>
    <w:rsid w:val="00F31CE6"/>
    <w:rsid w:val="00F41AA7"/>
    <w:rsid w:val="00F60AA7"/>
    <w:rsid w:val="00F62F05"/>
    <w:rsid w:val="00F7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F51E"/>
  <w15:chartTrackingRefBased/>
  <w15:docId w15:val="{E0864AC3-628B-4BE9-BFC1-A33832F7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D51"/>
    <w:pPr>
      <w:ind w:left="720"/>
      <w:contextualSpacing/>
    </w:pPr>
  </w:style>
  <w:style w:type="table" w:styleId="TableGrid">
    <w:name w:val="Table Grid"/>
    <w:basedOn w:val="TableNormal"/>
    <w:uiPriority w:val="39"/>
    <w:rsid w:val="0003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E89"/>
  </w:style>
  <w:style w:type="paragraph" w:styleId="Footer">
    <w:name w:val="footer"/>
    <w:basedOn w:val="Normal"/>
    <w:link w:val="FooterChar"/>
    <w:uiPriority w:val="99"/>
    <w:unhideWhenUsed/>
    <w:rsid w:val="00794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UMS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Rihab Grassa</dc:creator>
  <cp:keywords/>
  <dc:description/>
  <cp:lastModifiedBy>Jaffar Youssef Reda Abboud(H00423623)</cp:lastModifiedBy>
  <cp:revision>4</cp:revision>
  <cp:lastPrinted>2017-03-16T09:48:00Z</cp:lastPrinted>
  <dcterms:created xsi:type="dcterms:W3CDTF">2022-11-01T09:10:00Z</dcterms:created>
  <dcterms:modified xsi:type="dcterms:W3CDTF">2022-11-01T09:31:00Z</dcterms:modified>
</cp:coreProperties>
</file>