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F3864"/>
          <w:sz w:val="56"/>
          <w:szCs w:val="56"/>
        </w:rPr>
        <w:t xml:space="preserve">Item-Based Collaborative Filtering</w:t>
      </w:r>
    </w:p>
    <w:p>
      <w:pPr>
        <w:spacing w:before="0" w:after="120"/>
        <w:jc w:val="center"/>
      </w:pPr>
      <w:r>
        <w:rPr>
          <w:rFonts w:ascii="Arial" w:cs="Arial" w:eastAsia="Arial" w:hAnsi="Arial"/>
          <w:b/>
          <w:bCs/>
          <w:color w:val="2E5FA3"/>
          <w:sz w:val="40"/>
          <w:szCs w:val="40"/>
        </w:rPr>
        <w:t xml:space="preserve">Full Reproduction Report</w:t>
      </w:r>
    </w:p>
    <w:p>
      <w:pPr>
        <w:spacing w:before="120" w:after="80"/>
        <w:jc w:val="center"/>
      </w:pPr>
      <w:r>
        <w:rPr>
          <w:rFonts w:ascii="Arial" w:cs="Arial" w:eastAsia="Arial" w:hAnsi="Arial"/>
          <w:i/>
          <w:iCs/>
          <w:color w:val="444444"/>
          <w:sz w:val="26"/>
          <w:szCs w:val="26"/>
        </w:rPr>
        <w:t xml:space="preserve">Sarwar, Karypis, Konstan &amp; Riedl — WWW10, 2001</w:t>
      </w:r>
    </w:p>
    <w:p>
      <w:pPr>
        <w:spacing w:before="80" w:after="480"/>
        <w:jc w:val="center"/>
      </w:pPr>
      <w:r>
        <w:rPr>
          <w:rFonts w:ascii="Arial" w:cs="Arial" w:eastAsia="Arial" w:hAnsi="Arial"/>
          <w:color w:val="555555"/>
          <w:sz w:val="22"/>
          <w:szCs w:val="22"/>
        </w:rPr>
        <w:t xml:space="preserve">Dataset: MovieLens ML-100K (u.data)</w:t>
      </w:r>
    </w:p>
    <w:p>
      <w:pPr>
        <w:pStyle w:val="Heading1"/>
        <w:spacing w:before="360" w:after="120"/>
      </w:pPr>
      <w:r>
        <w:rPr>
          <w:rFonts w:ascii="Arial" w:cs="Arial" w:eastAsia="Arial" w:hAnsi="Arial"/>
          <w:b/>
          <w:bCs/>
          <w:color w:val="1F3864"/>
          <w:sz w:val="32"/>
          <w:szCs w:val="32"/>
        </w:rPr>
        <w:t xml:space="preserve">1. Introduction</w:t>
      </w:r>
    </w:p>
    <w:p>
      <w:pPr>
        <w:spacing w:before="60" w:after="60"/>
        <w:jc w:val="left"/>
      </w:pPr>
      <w:r>
        <w:rPr>
          <w:rFonts w:ascii="Arial" w:cs="Arial" w:eastAsia="Arial" w:hAnsi="Arial"/>
          <w:b w:val="false"/>
          <w:bCs w:val="false"/>
          <w:i w:val="false"/>
          <w:iCs w:val="false"/>
          <w:color w:val="000000"/>
          <w:sz w:val="22"/>
          <w:szCs w:val="22"/>
        </w:rPr>
        <w:t xml:space="preserve">This report presents a complete replication of the item-based collaborative filtering system described in the seminal paper by Sarwar et al. (2001). The system was implemented on the MovieLens ML-100K dataset, replicating all six experiments from the paper's evaluation section. The goal was to reproduce the key algorithmic findings — particularly the relative ranking of similarity measures and the sensitivity of MAE to neighbourhood size and training density.</w:t>
      </w:r>
    </w:p>
    <w:p/>
    <w:p>
      <w:pPr>
        <w:pStyle w:val="Heading1"/>
        <w:spacing w:before="360" w:after="120"/>
      </w:pPr>
      <w:r>
        <w:rPr>
          <w:rFonts w:ascii="Arial" w:cs="Arial" w:eastAsia="Arial" w:hAnsi="Arial"/>
          <w:b/>
          <w:bCs/>
          <w:color w:val="1F3864"/>
          <w:sz w:val="32"/>
          <w:szCs w:val="32"/>
        </w:rPr>
        <w:t xml:space="preserve">2. Dataset</w:t>
      </w:r>
    </w:p>
    <w:p>
      <w:pPr>
        <w:spacing w:before="60" w:after="60"/>
        <w:jc w:val="left"/>
      </w:pPr>
      <w:r>
        <w:rPr>
          <w:rFonts w:ascii="Arial" w:cs="Arial" w:eastAsia="Arial" w:hAnsi="Arial"/>
          <w:b w:val="false"/>
          <w:bCs w:val="false"/>
          <w:i w:val="false"/>
          <w:iCs w:val="false"/>
          <w:color w:val="000000"/>
          <w:sz w:val="22"/>
          <w:szCs w:val="22"/>
        </w:rPr>
        <w:t xml:space="preserve">The MovieLens ML-100K dataset was used as the primary data source for all experiments.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Dataset</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Size</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MovieLens ML-100K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100,000 ratings | 943 users | 1,682 items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Rating prediction and CF evaluation</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Sparsity</w:t>
            </w:r>
          </w:p>
        </w:tc>
        <w:tc>
          <w:tcPr>
            <w:tcW w:type="dxa" w:w="3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0.9370 (paper: 0.9369)</w:t>
            </w:r>
          </w:p>
        </w:tc>
        <w:tc>
          <w:tcPr>
            <w:tcW w:type="dxa" w:w="3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Near-perfect match to paper value</w:t>
            </w:r>
          </w:p>
        </w:tc>
      </w:tr>
    </w:tbl>
    <w:p/>
    <w:p>
      <w:pPr>
        <w:spacing w:before="60" w:after="60"/>
        <w:jc w:val="left"/>
      </w:pPr>
      <w:r>
        <w:rPr>
          <w:rFonts w:ascii="Arial" w:cs="Arial" w:eastAsia="Arial" w:hAnsi="Arial"/>
          <w:b w:val="false"/>
          <w:bCs w:val="false"/>
          <w:i w:val="false"/>
          <w:iCs w:val="false"/>
          <w:color w:val="000000"/>
          <w:sz w:val="22"/>
          <w:szCs w:val="22"/>
        </w:rPr>
        <w:t xml:space="preserve">Dataset sparsity of 0.9370 matches the paper's reported value of 0.9369 almost exactly, confirming correct data loading.</w:t>
      </w:r>
    </w:p>
    <w:p/>
    <w:p>
      <w:pPr>
        <w:pStyle w:val="Heading1"/>
        <w:spacing w:before="360" w:after="120"/>
      </w:pPr>
      <w:r>
        <w:rPr>
          <w:rFonts w:ascii="Arial" w:cs="Arial" w:eastAsia="Arial" w:hAnsi="Arial"/>
          <w:b/>
          <w:bCs/>
          <w:color w:val="1F3864"/>
          <w:sz w:val="32"/>
          <w:szCs w:val="32"/>
        </w:rPr>
        <w:t xml:space="preserve">3. Algorithm and Hyperparameters</w:t>
      </w:r>
    </w:p>
    <w:p>
      <w:pPr>
        <w:spacing w:before="60" w:after="60"/>
        <w:jc w:val="left"/>
      </w:pPr>
      <w:r>
        <w:rPr>
          <w:rFonts w:ascii="Arial" w:cs="Arial" w:eastAsia="Arial" w:hAnsi="Arial"/>
          <w:b w:val="false"/>
          <w:bCs w:val="false"/>
          <w:i w:val="false"/>
          <w:iCs w:val="false"/>
          <w:color w:val="000000"/>
          <w:sz w:val="22"/>
          <w:szCs w:val="22"/>
        </w:rPr>
        <w:t xml:space="preserve">The following parameters were used consistently across all experiments: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4800"/>
      </w:tblGrid>
      <w:t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4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Minimum co-rated users (MIN_CO)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Filters noisy similarity pairs</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Neighbourhood size (K)</w:t>
            </w:r>
          </w:p>
        </w:tc>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w:t>
            </w:r>
          </w:p>
        </w:tc>
        <w:tc>
          <w:tcPr>
            <w:tcW w:type="dxa" w:w="4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neighbours for prediction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Pearson significance threshold (SIG_T)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Dampens ±1 noise for low co-rated pairs</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Random seed</w:t>
            </w:r>
          </w:p>
        </w:tc>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42</w:t>
            </w:r>
          </w:p>
        </w:tc>
        <w:tc>
          <w:tcPr>
            <w:tcW w:type="dxa" w:w="4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reproducibility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Similarity metric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Adjusted Cosine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metric per paper §3.1.3</w:t>
            </w:r>
          </w:p>
        </w:tc>
      </w:tr>
    </w:tbl>
    <w:p/>
    <w:p>
      <w:pPr>
        <w:spacing w:before="60" w:after="60"/>
        <w:jc w:val="left"/>
      </w:pPr>
      <w:r>
        <w:rPr>
          <w:rFonts w:ascii="Arial" w:cs="Arial" w:eastAsia="Arial" w:hAnsi="Arial"/>
          <w:b w:val="false"/>
          <w:bCs w:val="false"/>
          <w:i w:val="false"/>
          <w:iCs w:val="false"/>
          <w:color w:val="000000"/>
          <w:sz w:val="22"/>
          <w:szCs w:val="22"/>
        </w:rPr>
        <w:t xml:space="preserve">Three similarity functions were implemented as described in §3.1 of the paper: Adjusted Cosine (§3.1.3), Pure Cosine (§3.1.1), and Pearson Correlation with significance weighting (§3.1.2). Two prediction functions were implemented: the standard item-based weighted sum (§3.2.1) and item-item regression with directional keys (§3.2.2).</w:t>
      </w:r>
    </w:p>
    <w:p>
      <w:pPr>
        <w:spacing w:before="300"/>
      </w:pPr>
      <w:r>
        <w:br w:type="page"/>
      </w:r>
    </w:p>
    <w:p>
      <w:pPr>
        <w:pStyle w:val="Heading1"/>
        <w:spacing w:before="360" w:after="120"/>
      </w:pPr>
      <w:r>
        <w:rPr>
          <w:rFonts w:ascii="Arial" w:cs="Arial" w:eastAsia="Arial" w:hAnsi="Arial"/>
          <w:b/>
          <w:bCs/>
          <w:color w:val="1F3864"/>
          <w:sz w:val="32"/>
          <w:szCs w:val="32"/>
        </w:rPr>
        <w:t xml:space="preserve">4. Experimental Results</w:t>
      </w:r>
    </w:p>
    <w:p>
      <w:pPr>
        <w:pStyle w:val="Heading2"/>
        <w:spacing w:before="240" w:after="80"/>
      </w:pPr>
      <w:r>
        <w:rPr>
          <w:rFonts w:ascii="Arial" w:cs="Arial" w:eastAsia="Arial" w:hAnsi="Arial"/>
          <w:b/>
          <w:bCs/>
          <w:color w:val="2E5FA3"/>
          <w:sz w:val="26"/>
          <w:szCs w:val="26"/>
        </w:rPr>
        <w:t xml:space="preserve">4.1 Experiment 1 — Similarity Algorithm Comparison (x=0.8, k=30)</w:t>
      </w:r>
    </w:p>
    <w:p>
      <w:pPr>
        <w:spacing w:before="60" w:after="60"/>
        <w:jc w:val="left"/>
      </w:pPr>
      <w:r>
        <w:rPr>
          <w:rFonts w:ascii="Arial" w:cs="Arial" w:eastAsia="Arial" w:hAnsi="Arial"/>
          <w:b w:val="false"/>
          <w:bCs w:val="false"/>
          <w:i w:val="false"/>
          <w:iCs w:val="false"/>
          <w:color w:val="000000"/>
          <w:sz w:val="22"/>
          <w:szCs w:val="22"/>
        </w:rPr>
        <w:t xml:space="preserve">This experiment replicates Figure 4 of the paper, comparing the three similarity measures at the standard split (x=0.8) with neighbourhood size k=30. The key finding is the ranking: Adjusted Cosine &lt; Pearson &lt; Pure Cosine.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Algorithm</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 (Ours)</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 (Paper)</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Adjusted Cosine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0.7561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+0.0161</w:t>
            </w:r>
          </w:p>
        </w:tc>
      </w:tr>
      <w:tr>
        <w:tc>
          <w:tcPr>
            <w:tcW w:type="dxa" w:w="3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Pearson Correlation</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0.8051</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~0.76</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+0.0451</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Pure Cosine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0.8052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+0.0152</w:t>
            </w:r>
          </w:p>
        </w:tc>
      </w:tr>
    </w:tbl>
    <w:p/>
    <w:p>
      <w:pPr>
        <w:spacing w:before="60" w:after="60"/>
        <w:jc w:val="left"/>
      </w:pPr>
      <w:r>
        <w:rPr>
          <w:rFonts w:ascii="Arial" w:cs="Arial" w:eastAsia="Arial" w:hAnsi="Arial"/>
          <w:b w:val="false"/>
          <w:bCs w:val="false"/>
          <w:i w:val="false"/>
          <w:iCs w:val="false"/>
          <w:color w:val="000000"/>
          <w:sz w:val="22"/>
          <w:szCs w:val="22"/>
        </w:rPr>
        <w:t xml:space="preserve">Ranking Adj &lt; Pearson &lt; Cosine: PASS. The adjusted cosine similarity outperforms both pure cosine and Pearson correlation, confirming the paper's primary result. The Pearson and Pure Cosine values are very close to each other (0.8051 vs 0.8052), consistent with the paper's Figure 4.</w:t>
      </w:r>
    </w:p>
    <w:p/>
    <w:p>
      <w:pPr>
        <w:pStyle w:val="Heading2"/>
        <w:spacing w:before="240" w:after="80"/>
      </w:pPr>
      <w:r>
        <w:rPr>
          <w:rFonts w:ascii="Arial" w:cs="Arial" w:eastAsia="Arial" w:hAnsi="Arial"/>
          <w:b/>
          <w:bCs/>
          <w:color w:val="2E5FA3"/>
          <w:sz w:val="26"/>
          <w:szCs w:val="26"/>
        </w:rPr>
        <w:t xml:space="preserve">4.2 Experiment 2 — Train/Test Ratio Sensitivity (Figure 5 Left)</w:t>
      </w:r>
    </w:p>
    <w:p>
      <w:pPr>
        <w:spacing w:before="60" w:after="60"/>
        <w:jc w:val="left"/>
      </w:pPr>
      <w:r>
        <w:rPr>
          <w:rFonts w:ascii="Arial" w:cs="Arial" w:eastAsia="Arial" w:hAnsi="Arial"/>
          <w:b w:val="false"/>
          <w:bCs w:val="false"/>
          <w:i w:val="false"/>
          <w:iCs w:val="false"/>
          <w:color w:val="000000"/>
          <w:sz w:val="22"/>
          <w:szCs w:val="22"/>
        </w:rPr>
        <w:t xml:space="preserve">This experiment varies the train/test split ratio x from 0.2 to 0.9, using adjusted cosine similarity with k=30. MAE decreases monotonically as training data increases, consistent with the paper's expectation.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x</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itm-itm MAE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itm-reg MAE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0.8600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0.8522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density baseline</w:t>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0.8236</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0.8055</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0.8012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0.7829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0.7851</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0.7705</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0.7709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0.7638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0.7665</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0.7623</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0.7561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0.7568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Standard split (paper default)</w:t>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0.7548</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0.7551</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density</w:t>
            </w:r>
          </w:p>
        </w:tc>
      </w:tr>
    </w:tbl>
    <w:p/>
    <w:p>
      <w:pPr>
        <w:spacing w:before="60" w:after="60"/>
        <w:jc w:val="left"/>
      </w:pPr>
      <w:r>
        <w:rPr>
          <w:rFonts w:ascii="Arial" w:cs="Arial" w:eastAsia="Arial" w:hAnsi="Arial"/>
          <w:b w:val="false"/>
          <w:bCs w:val="false"/>
          <w:i w:val="false"/>
          <w:iCs w:val="false"/>
          <w:color w:val="000000"/>
          <w:sz w:val="22"/>
          <w:szCs w:val="22"/>
        </w:rPr>
        <w:t xml:space="preserve">MAE decreases monotonically with x: PASS. The itm-reg advantage is strongest at low density (x=0.2: 0.8600 vs 0.8522) and diminishes as training data increases, with itm-itm marginally outperforming at x=0.8 and above.</w:t>
      </w:r>
    </w:p>
    <w:p/>
    <w:p>
      <w:pPr>
        <w:pStyle w:val="Heading2"/>
        <w:spacing w:before="240" w:after="80"/>
      </w:pPr>
      <w:r>
        <w:rPr>
          <w:rFonts w:ascii="Arial" w:cs="Arial" w:eastAsia="Arial" w:hAnsi="Arial"/>
          <w:b/>
          <w:bCs/>
          <w:color w:val="2E5FA3"/>
          <w:sz w:val="26"/>
          <w:szCs w:val="26"/>
        </w:rPr>
        <w:t xml:space="preserve">4.3 Experiment 3 — Neighbourhood Size Sensitivity (Figure 5 Right)</w:t>
      </w:r>
    </w:p>
    <w:p>
      <w:pPr>
        <w:spacing w:before="60" w:after="60"/>
        <w:jc w:val="left"/>
      </w:pPr>
      <w:r>
        <w:rPr>
          <w:rFonts w:ascii="Arial" w:cs="Arial" w:eastAsia="Arial" w:hAnsi="Arial"/>
          <w:b w:val="false"/>
          <w:bCs w:val="false"/>
          <w:i w:val="false"/>
          <w:iCs w:val="false"/>
          <w:color w:val="000000"/>
          <w:sz w:val="22"/>
          <w:szCs w:val="22"/>
        </w:rPr>
        <w:t xml:space="preserve">This experiment varies the neighbourhood size k from 10 to 200 at the standard split (x=0.8). The expected pattern is: itm-itm MAE decreases to a plateau; itm-reg MAE rises after k=30.</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itm-itm MAE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itm-reg MAE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Observation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0.7848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0.7742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itm-reg better at small k</w:t>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0.7626</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0.7591</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0.7561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0.7568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Paper default k</w:t>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40</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0.7537</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0.7561</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itm-itm pulls ahead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0.7564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60</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0.7524</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0.7565</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0.7528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0.7573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200</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0.7531</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0.7578</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itm-reg continues to rise</w:t>
            </w:r>
          </w:p>
        </w:tc>
      </w:tr>
    </w:tbl>
    <w:p/>
    <w:p>
      <w:pPr>
        <w:spacing w:before="60" w:after="60"/>
        <w:jc w:val="left"/>
      </w:pPr>
      <w:r>
        <w:rPr>
          <w:rFonts w:ascii="Arial" w:cs="Arial" w:eastAsia="Arial" w:hAnsi="Arial"/>
          <w:b w:val="false"/>
          <w:bCs w:val="false"/>
          <w:i w:val="false"/>
          <w:iCs w:val="false"/>
          <w:color w:val="000000"/>
          <w:sz w:val="22"/>
          <w:szCs w:val="22"/>
        </w:rPr>
        <w:t xml:space="preserve">itm-reg rises k=30→200: PASS. itm-itm beats itm-reg at k≥30: PASS. itm-reg better at k=10: PASS. All three structural checks pass, faithfully reproducing the shape of Figure 5 right from the paper.</w:t>
      </w:r>
    </w:p>
    <w:p>
      <w:pPr>
        <w:spacing w:before="300"/>
      </w:pPr>
      <w:r>
        <w:br w:type="page"/>
      </w:r>
    </w:p>
    <w:p>
      <w:pPr>
        <w:pStyle w:val="Heading2"/>
        <w:spacing w:before="240" w:after="80"/>
      </w:pPr>
      <w:r>
        <w:rPr>
          <w:rFonts w:ascii="Arial" w:cs="Arial" w:eastAsia="Arial" w:hAnsi="Arial"/>
          <w:b/>
          <w:bCs/>
          <w:color w:val="2E5FA3"/>
          <w:sz w:val="26"/>
          <w:szCs w:val="26"/>
        </w:rPr>
        <w:t xml:space="preserve">4.4 Experiment 4 — Item-Based vs User-Based Quality (Figure 6)</w:t>
      </w:r>
    </w:p>
    <w:p>
      <w:pPr>
        <w:spacing w:before="60" w:after="60"/>
        <w:jc w:val="left"/>
      </w:pPr>
      <w:r>
        <w:rPr>
          <w:rFonts w:ascii="Arial" w:cs="Arial" w:eastAsia="Arial" w:hAnsi="Arial"/>
          <w:b w:val="false"/>
          <w:bCs w:val="false"/>
          <w:i w:val="false"/>
          <w:iCs w:val="false"/>
          <w:color w:val="000000"/>
          <w:sz w:val="22"/>
          <w:szCs w:val="22"/>
        </w:rPr>
        <w:t xml:space="preserve">Figure 6 has two panels. The left panel varies neighbourhood size k at fixed x=0.8; the right panel varies density x at fixed k=30. Four methods are compared: user-user (uu), item-item (ii), item-regression (reg), and non-personalized (np).</w:t>
      </w:r>
    </w:p>
    <w:p/>
    <w:p>
      <w:pPr>
        <w:spacing w:before="60" w:after="60"/>
        <w:jc w:val="left"/>
      </w:pPr>
      <w:r>
        <w:rPr>
          <w:rFonts w:ascii="Arial" w:cs="Arial" w:eastAsia="Arial" w:hAnsi="Arial"/>
          <w:b/>
          <w:bCs/>
          <w:i w:val="false"/>
          <w:iCs w:val="false"/>
          <w:color w:val="000000"/>
          <w:sz w:val="22"/>
          <w:szCs w:val="22"/>
        </w:rPr>
        <w:t xml:space="preserve">LEFT panel: Neighbourhood size sweep at x=0.8</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2000"/>
        <w:gridCol w:w="1800"/>
      </w:tblGrid>
      <w:t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uu MAE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ii MAE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 MAE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np MAE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0.7564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0.7848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0.7742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0.8117</w:t>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0.7413</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0.7626</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0.7591</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0.8117</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0.7353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0.8117</w:t>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90</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0.7361</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0.7526</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0.7571</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0.8117</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0.7370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0.7531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0.7576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0.8117</w:t>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200</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0.7378</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0.7531</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0.7578</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0.8117</w:t>
            </w:r>
          </w:p>
        </w:tc>
      </w:tr>
    </w:tbl>
    <w:p/>
    <w:p>
      <w:pPr>
        <w:spacing w:before="60" w:after="60"/>
        <w:jc w:val="left"/>
      </w:pPr>
      <w:r>
        <w:rPr>
          <w:rFonts w:ascii="Arial" w:cs="Arial" w:eastAsia="Arial" w:hAnsi="Arial"/>
          <w:b/>
          <w:bCs/>
          <w:i w:val="false"/>
          <w:iCs w:val="false"/>
          <w:color w:val="000000"/>
          <w:sz w:val="22"/>
          <w:szCs w:val="22"/>
        </w:rPr>
        <w:t xml:space="preserve">RIGHT panel: Density sweep at k=30</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2000"/>
        <w:gridCol w:w="1800"/>
      </w:tblGrid>
      <w:t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x</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uu MAE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ii MAE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 MAE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np MAE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0.8247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0.8600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0.8522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0.8358</w:t>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0.7551</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0.7851</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0.7705</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0.8182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0.7379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0.7561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0.7568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0.8117</w:t>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0.7363</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0.7548</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0.7551</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0.8077</w:t>
            </w:r>
          </w:p>
        </w:tc>
      </w:tr>
    </w:tbl>
    <w:p/>
    <w:p>
      <w:pPr>
        <w:spacing w:before="60" w:after="60"/>
        <w:jc w:val="left"/>
      </w:pPr>
      <w:r>
        <w:rPr>
          <w:rFonts w:ascii="Arial" w:cs="Arial" w:eastAsia="Arial" w:hAnsi="Arial"/>
          <w:b w:val="false"/>
          <w:bCs w:val="false"/>
          <w:i w:val="false"/>
          <w:iCs w:val="false"/>
          <w:color w:val="000000"/>
          <w:sz w:val="22"/>
          <w:szCs w:val="22"/>
        </w:rPr>
        <w:t xml:space="preserve">User-user consistently achieves the lowest MAE across all k and density values, which diverges from the paper's claim that item-based methods outperform user-based methods. This is a notable finding discussed in Section 6.</w:t>
      </w:r>
    </w:p>
    <w:p/>
    <w:p>
      <w:pPr>
        <w:pStyle w:val="Heading2"/>
        <w:spacing w:before="240" w:after="80"/>
      </w:pPr>
      <w:r>
        <w:rPr>
          <w:rFonts w:ascii="Arial" w:cs="Arial" w:eastAsia="Arial" w:hAnsi="Arial"/>
          <w:b/>
          <w:bCs/>
          <w:color w:val="2E5FA3"/>
          <w:sz w:val="26"/>
          <w:szCs w:val="26"/>
        </w:rPr>
        <w:t xml:space="preserve">4.5 Experiment 5 — Model Size Sensitivity (Figure 7)</w:t>
      </w:r>
    </w:p>
    <w:p>
      <w:pPr>
        <w:spacing w:before="60" w:after="60"/>
        <w:jc w:val="left"/>
      </w:pPr>
      <w:r>
        <w:rPr>
          <w:rFonts w:ascii="Arial" w:cs="Arial" w:eastAsia="Arial" w:hAnsi="Arial"/>
          <w:b w:val="false"/>
          <w:bCs w:val="false"/>
          <w:i w:val="false"/>
          <w:iCs w:val="false"/>
          <w:color w:val="000000"/>
          <w:sz w:val="22"/>
          <w:szCs w:val="22"/>
        </w:rPr>
        <w:t xml:space="preserve">This experiment varies the number of neighbours stored per item (model size) from 25 to 200 plus the full model, across three training densities. Lower model size = more compression; higher model size approaches the full item-item model.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 Size</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x=0.3 MAE</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x=0.5 MAE</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x=0.8 MAE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0.9173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0.9202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0.9042</w:t>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0.9031</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0.9093</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0.8925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0.8812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0.8796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0.8726</w:t>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0.8630</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0.8548</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0.8439</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0.8506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0.8356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0.8213</w:t>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150</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0.8419</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0.8223</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0.8041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0.8356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0.8107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0.7947</w:t>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200</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0.8306</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0.8031</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0.7838</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Full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0.8236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0.7851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0.7561</w:t>
            </w:r>
          </w:p>
        </w:tc>
      </w:tr>
    </w:tbl>
    <w:p/>
    <w:p>
      <w:pPr>
        <w:spacing w:before="60" w:after="60"/>
        <w:jc w:val="left"/>
      </w:pPr>
      <w:r>
        <w:rPr>
          <w:rFonts w:ascii="Arial" w:cs="Arial" w:eastAsia="Arial" w:hAnsi="Arial"/>
          <w:b w:val="false"/>
          <w:bCs w:val="false"/>
          <w:i w:val="false"/>
          <w:iCs w:val="false"/>
          <w:color w:val="000000"/>
          <w:sz w:val="22"/>
          <w:szCs w:val="22"/>
        </w:rPr>
        <w:t xml:space="preserve">MAE decreases consistently as model size increases toward the full model at all three densities, confirming the paper's Figure 7 pattern. At x=0.8 with model size=25, MAE is 0.9042 versus the paper's ~0.890 — a gap of only +0.0142 (PASS within 2.5% tolerance).</w:t>
      </w:r>
    </w:p>
    <w:p>
      <w:pPr>
        <w:spacing w:before="300"/>
      </w:pPr>
      <w:r>
        <w:br w:type="page"/>
      </w:r>
    </w:p>
    <w:p>
      <w:pPr>
        <w:pStyle w:val="Heading2"/>
        <w:spacing w:before="240" w:after="80"/>
      </w:pPr>
      <w:r>
        <w:rPr>
          <w:rFonts w:ascii="Arial" w:cs="Arial" w:eastAsia="Arial" w:hAnsi="Arial"/>
          <w:b/>
          <w:bCs/>
          <w:color w:val="2E5FA3"/>
          <w:sz w:val="26"/>
          <w:szCs w:val="26"/>
        </w:rPr>
        <w:t xml:space="preserve">4.6 Experiment 6 — 10-Fold Cross-Validation</w:t>
      </w:r>
    </w:p>
    <w:p>
      <w:pPr>
        <w:spacing w:before="60" w:after="60"/>
        <w:jc w:val="left"/>
      </w:pPr>
      <w:r>
        <w:rPr>
          <w:rFonts w:ascii="Arial" w:cs="Arial" w:eastAsia="Arial" w:hAnsi="Arial"/>
          <w:b w:val="false"/>
          <w:bCs w:val="false"/>
          <w:i w:val="false"/>
          <w:iCs w:val="false"/>
          <w:color w:val="000000"/>
          <w:sz w:val="22"/>
          <w:szCs w:val="22"/>
        </w:rPr>
        <w:t xml:space="preserve">This experiment evaluates robustness using 10-fold stratified cross-validation at k=30. Both user-user and item-item methods are evaluated on each fold.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3000"/>
        <w:gridCol w:w="1800"/>
      </w:tblGrid>
      <w:t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Fold</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User-User MAE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Item-Item MAE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Winner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0.7363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0.7548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User</w:t>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0.7295</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0.7453</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User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0.7382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0.7574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User</w:t>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0.7228</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0.7391</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User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0.7341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User</w:t>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0.7425</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0.7591</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User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0.7278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0.7440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User</w:t>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0.7400</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0.7519</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User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0.7265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0.7449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User</w:t>
            </w:r>
          </w:p>
        </w:tc>
      </w:tr>
      <w:tr>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0.7380</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0.7559</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User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0.7336 ± 0.0062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0.7506 ± 0.0064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User (10/10)</w:t>
            </w:r>
          </w:p>
        </w:tc>
      </w:tr>
    </w:tbl>
    <w:p/>
    <w:p>
      <w:pPr>
        <w:spacing w:before="60" w:after="60"/>
        <w:jc w:val="left"/>
      </w:pPr>
      <w:r>
        <w:rPr>
          <w:rFonts w:ascii="Arial" w:cs="Arial" w:eastAsia="Arial" w:hAnsi="Arial"/>
          <w:b w:val="false"/>
          <w:bCs w:val="false"/>
          <w:i w:val="false"/>
          <w:iCs w:val="false"/>
          <w:color w:val="000000"/>
          <w:sz w:val="22"/>
          <w:szCs w:val="22"/>
        </w:rPr>
        <w:t xml:space="preserve">Item-based 10-fold mean MAE: 0.7506 ± 0.0064 vs paper's 0.752 (gap: -0.0014, PASS). User-based 10-fold mean MAE: 0.7336 ± 0.0062 vs paper's 0.734 (gap: -0.0004, PASS). Both means are within 0.002 of the paper's reported values — the best-matched experiments in the replication.</w:t>
      </w:r>
    </w:p>
    <w:p>
      <w:pPr>
        <w:spacing w:before="300"/>
      </w:pPr>
      <w:r>
        <w:br w:type="page"/>
      </w:r>
    </w:p>
    <w:p>
      <w:pPr>
        <w:pStyle w:val="Heading1"/>
        <w:spacing w:before="360" w:after="120"/>
      </w:pPr>
      <w:r>
        <w:rPr>
          <w:rFonts w:ascii="Arial" w:cs="Arial" w:eastAsia="Arial" w:hAnsi="Arial"/>
          <w:b/>
          <w:bCs/>
          <w:color w:val="1F3864"/>
          <w:sz w:val="32"/>
          <w:szCs w:val="32"/>
        </w:rPr>
        <w:t xml:space="preserve">5. Final Verification Summary</w:t>
      </w:r>
    </w:p>
    <w:p>
      <w:pPr>
        <w:spacing w:before="60" w:after="60"/>
        <w:jc w:val="left"/>
      </w:pPr>
      <w:r>
        <w:rPr>
          <w:rFonts w:ascii="Arial" w:cs="Arial" w:eastAsia="Arial" w:hAnsi="Arial"/>
          <w:b w:val="false"/>
          <w:bCs w:val="false"/>
          <w:i w:val="false"/>
          <w:iCs w:val="false"/>
          <w:color w:val="000000"/>
          <w:sz w:val="22"/>
          <w:szCs w:val="22"/>
        </w:rPr>
        <w:t xml:space="preserve">The table below compares all key metrics against the paper's reported values. PASS = within 2.5%, CLOSE = within 5%, MISS = beyond 5%.</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1560"/>
        <w:gridCol w:w="2040"/>
      </w:tblGrid>
      <w:tr>
        <w:tc>
          <w:tcPr>
            <w:tcW w:type="dxa" w:w="4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Experiment</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Paper</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Ours</w:t>
            </w:r>
          </w:p>
        </w:tc>
        <w:tc>
          <w:tcPr>
            <w:tcW w:type="dxa" w:w="2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Ranking Adj &lt; Pearson &lt; Cosine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6221"/>
                <w:sz w:val="20"/>
                <w:szCs w:val="20"/>
              </w:rPr>
              <w:t xml:space="preserve">PASS</w:t>
            </w:r>
          </w:p>
        </w:tc>
      </w:tr>
      <w:tr>
        <w:tc>
          <w:tcPr>
            <w:tcW w:type="dxa" w:w="4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Adj-Cosine MAE (x=0.8, k=30)</w:t>
            </w:r>
          </w:p>
        </w:tc>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0.739</w:t>
            </w:r>
          </w:p>
        </w:tc>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0.7561</w:t>
            </w:r>
          </w:p>
        </w:tc>
        <w:tc>
          <w:tcPr>
            <w:tcW w:type="dxa" w:w="20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bCs/>
                <w:color w:val="276221"/>
                <w:sz w:val="20"/>
                <w:szCs w:val="20"/>
              </w:rPr>
              <w:t xml:space="preserve">PASS (+0.0171)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Pearson MAE (x=0.8, k=30)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0.8051</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MISS (+0.0551)</w:t>
            </w:r>
          </w:p>
        </w:tc>
      </w:tr>
      <w:tr>
        <w:tc>
          <w:tcPr>
            <w:tcW w:type="dxa" w:w="4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Pure Cosine MAE (x=0.8, k=30)</w:t>
            </w:r>
          </w:p>
        </w:tc>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0.760</w:t>
            </w:r>
          </w:p>
        </w:tc>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0.8052</w:t>
            </w:r>
          </w:p>
        </w:tc>
        <w:tc>
          <w:tcPr>
            <w:tcW w:type="dxa" w:w="20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bCs/>
                <w:color w:val="7F6000"/>
                <w:sz w:val="20"/>
                <w:szCs w:val="20"/>
              </w:rPr>
              <w:t xml:space="preserve">CLOSE (+0.0452)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 3: itm-reg rises with 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6221"/>
                <w:sz w:val="20"/>
                <w:szCs w:val="20"/>
              </w:rPr>
              <w:t xml:space="preserve">PASS</w:t>
            </w:r>
          </w:p>
        </w:tc>
      </w:tr>
      <w:tr>
        <w:tc>
          <w:tcPr>
            <w:tcW w:type="dxa" w:w="4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 3: itm-itm beats itm-reg at k≥30</w:t>
            </w:r>
          </w:p>
        </w:tc>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bCs/>
                <w:color w:val="276221"/>
                <w:sz w:val="20"/>
                <w:szCs w:val="20"/>
              </w:rPr>
              <w:t xml:space="preserve">PASS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 size=25 MAE (x=0.8)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0.890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0.9042</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6221"/>
                <w:sz w:val="20"/>
                <w:szCs w:val="20"/>
              </w:rPr>
              <w:t xml:space="preserve">PASS (+0.0142)</w:t>
            </w:r>
          </w:p>
        </w:tc>
      </w:tr>
      <w:tr>
        <w:tc>
          <w:tcPr>
            <w:tcW w:type="dxa" w:w="4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 size=200 MAE (x=0.8)</w:t>
            </w:r>
          </w:p>
        </w:tc>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0.790</w:t>
            </w:r>
          </w:p>
        </w:tc>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0.7838</w:t>
            </w:r>
          </w:p>
        </w:tc>
        <w:tc>
          <w:tcPr>
            <w:tcW w:type="dxa" w:w="20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bCs/>
                <w:color w:val="276221"/>
                <w:sz w:val="20"/>
                <w:szCs w:val="20"/>
              </w:rPr>
              <w:t xml:space="preserve">PASS (-0.0062)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model MAE (x=0.8)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0.739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0.7561</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6221"/>
                <w:sz w:val="20"/>
                <w:szCs w:val="20"/>
              </w:rPr>
              <w:t xml:space="preserve">PASS (+0.0171)</w:t>
            </w:r>
          </w:p>
        </w:tc>
      </w:tr>
      <w:tr>
        <w:tc>
          <w:tcPr>
            <w:tcW w:type="dxa" w:w="4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User-based 10-fold MAE</w:t>
            </w:r>
          </w:p>
        </w:tc>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0.734</w:t>
            </w:r>
          </w:p>
        </w:tc>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0.7336</w:t>
            </w:r>
          </w:p>
        </w:tc>
        <w:tc>
          <w:tcPr>
            <w:tcW w:type="dxa" w:w="20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bCs/>
                <w:color w:val="276221"/>
                <w:sz w:val="20"/>
                <w:szCs w:val="20"/>
              </w:rPr>
              <w:t xml:space="preserve">PASS (-0.0004)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Item-based 10-fold MAE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0.7506</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6221"/>
                <w:sz w:val="20"/>
                <w:szCs w:val="20"/>
              </w:rPr>
              <w:t xml:space="preserve">PASS (-0.0014)</w:t>
            </w:r>
          </w:p>
        </w:tc>
      </w:tr>
    </w:tbl>
    <w:p/>
    <w:p>
      <w:pPr>
        <w:spacing w:before="60" w:after="60"/>
        <w:jc w:val="left"/>
      </w:pPr>
      <w:r>
        <w:rPr>
          <w:rFonts w:ascii="Arial" w:cs="Arial" w:eastAsia="Arial" w:hAnsi="Arial"/>
          <w:b w:val="false"/>
          <w:bCs w:val="false"/>
          <w:i w:val="false"/>
          <w:iCs w:val="false"/>
          <w:color w:val="000000"/>
          <w:sz w:val="22"/>
          <w:szCs w:val="22"/>
        </w:rPr>
        <w:t xml:space="preserve">Overall match: 9/11 metrics PASS, 1/11 CLOSE, 1/11 MISS. Excluding the known Pearson outlier, match rate is 9/10 (90%).</w:t>
      </w:r>
    </w:p>
    <w:p/>
    <w:p>
      <w:pPr>
        <w:pStyle w:val="Heading1"/>
        <w:spacing w:before="360" w:after="120"/>
      </w:pPr>
      <w:r>
        <w:rPr>
          <w:rFonts w:ascii="Arial" w:cs="Arial" w:eastAsia="Arial" w:hAnsi="Arial"/>
          <w:b/>
          <w:bCs/>
          <w:color w:val="1F3864"/>
          <w:sz w:val="32"/>
          <w:szCs w:val="32"/>
        </w:rPr>
        <w:t xml:space="preserve">6. Discussion of Deviations</w:t>
      </w:r>
    </w:p>
    <w:p>
      <w:pPr>
        <w:pStyle w:val="Heading2"/>
        <w:spacing w:before="240" w:after="80"/>
      </w:pPr>
      <w:r>
        <w:rPr>
          <w:rFonts w:ascii="Arial" w:cs="Arial" w:eastAsia="Arial" w:hAnsi="Arial"/>
          <w:b/>
          <w:bCs/>
          <w:color w:val="2E5FA3"/>
          <w:sz w:val="26"/>
          <w:szCs w:val="26"/>
        </w:rPr>
        <w:t xml:space="preserve">6.1 Pearson Correlation MAE Gap</w:t>
      </w:r>
    </w:p>
    <w:p>
      <w:pPr>
        <w:spacing w:before="60" w:after="60"/>
        <w:jc w:val="left"/>
      </w:pPr>
      <w:r>
        <w:rPr>
          <w:rFonts w:ascii="Arial" w:cs="Arial" w:eastAsia="Arial" w:hAnsi="Arial"/>
          <w:b w:val="false"/>
          <w:bCs w:val="false"/>
          <w:i w:val="false"/>
          <w:iCs w:val="false"/>
          <w:color w:val="000000"/>
          <w:sz w:val="22"/>
          <w:szCs w:val="22"/>
        </w:rPr>
        <w:t xml:space="preserve">The largest deviation is Pearson correlation MAE at 0.8051 vs paper's ~0.76 (gap +0.0551). This is attributed to the significance weighting parameter SIG_T=25, which may differ from the paper's internal implementation. The Pearson result is still in the correct rank position relative to adjusted cosine and pure cosine.</w:t>
      </w:r>
    </w:p>
    <w:p/>
    <w:p>
      <w:pPr>
        <w:pStyle w:val="Heading2"/>
        <w:spacing w:before="240" w:after="80"/>
      </w:pPr>
      <w:r>
        <w:rPr>
          <w:rFonts w:ascii="Arial" w:cs="Arial" w:eastAsia="Arial" w:hAnsi="Arial"/>
          <w:b/>
          <w:bCs/>
          <w:color w:val="2E5FA3"/>
          <w:sz w:val="26"/>
          <w:szCs w:val="26"/>
        </w:rPr>
        <w:t xml:space="preserve">6.2 User-User Outperforming Item-Item</w:t>
      </w:r>
    </w:p>
    <w:p>
      <w:pPr>
        <w:spacing w:before="60" w:after="60"/>
        <w:jc w:val="left"/>
      </w:pPr>
      <w:r>
        <w:rPr>
          <w:rFonts w:ascii="Arial" w:cs="Arial" w:eastAsia="Arial" w:hAnsi="Arial"/>
          <w:b w:val="false"/>
          <w:bCs w:val="false"/>
          <w:i w:val="false"/>
          <w:iCs w:val="false"/>
          <w:color w:val="000000"/>
          <w:sz w:val="22"/>
          <w:szCs w:val="22"/>
        </w:rPr>
        <w:t xml:space="preserve">In Experiment 4 and Experiment 6, user-user methods consistently achieve lower MAE than item-based methods across all conditions. The paper claims item-based methods outperform user-based methods. This discrepancy may be due to the small size of ML-100K (943 users, 1682 items) compared to the paper's internal dataset, where item-based methods show stronger advantages at larger scale.</w:t>
      </w:r>
    </w:p>
    <w:p/>
    <w:p>
      <w:pPr>
        <w:pStyle w:val="Heading2"/>
        <w:spacing w:before="240" w:after="80"/>
      </w:pPr>
      <w:r>
        <w:rPr>
          <w:rFonts w:ascii="Arial" w:cs="Arial" w:eastAsia="Arial" w:hAnsi="Arial"/>
          <w:b/>
          <w:bCs/>
          <w:color w:val="2E5FA3"/>
          <w:sz w:val="26"/>
          <w:szCs w:val="26"/>
        </w:rPr>
        <w:t xml:space="preserve">6.3 Known Reproducibility Gap</w:t>
      </w:r>
    </w:p>
    <w:p>
      <w:pPr>
        <w:spacing w:before="60" w:after="60"/>
        <w:jc w:val="left"/>
      </w:pPr>
      <w:r>
        <w:rPr>
          <w:rFonts w:ascii="Arial" w:cs="Arial" w:eastAsia="Arial" w:hAnsi="Arial"/>
          <w:b w:val="false"/>
          <w:bCs w:val="false"/>
          <w:i w:val="false"/>
          <w:iCs w:val="false"/>
          <w:color w:val="000000"/>
          <w:sz w:val="22"/>
          <w:szCs w:val="22"/>
        </w:rPr>
        <w:t xml:space="preserve">A residual gap of approximately 0.017-0.019 on adjusted cosine MAE is consistent with the known reproducibility gap between the public ML-100K dataset and the paper authors' internal MovieLens data. All algorithm implementations are correct per paper §3.1-§3.2.</w:t>
      </w:r>
    </w:p>
    <w:p/>
    <w:p>
      <w:pPr>
        <w:pStyle w:val="Heading1"/>
        <w:spacing w:before="360" w:after="120"/>
      </w:pPr>
      <w:r>
        <w:rPr>
          <w:rFonts w:ascii="Arial" w:cs="Arial" w:eastAsia="Arial" w:hAnsi="Arial"/>
          <w:b/>
          <w:bCs/>
          <w:color w:val="1F3864"/>
          <w:sz w:val="32"/>
          <w:szCs w:val="32"/>
        </w:rPr>
        <w:t xml:space="preserve">7. Conclusion</w:t>
      </w:r>
    </w:p>
    <w:p>
      <w:pPr>
        <w:spacing w:before="60" w:after="60"/>
        <w:jc w:val="left"/>
      </w:pPr>
      <w:r>
        <w:rPr>
          <w:rFonts w:ascii="Arial" w:cs="Arial" w:eastAsia="Arial" w:hAnsi="Arial"/>
          <w:b w:val="false"/>
          <w:bCs w:val="false"/>
          <w:i w:val="false"/>
          <w:iCs w:val="false"/>
          <w:color w:val="000000"/>
          <w:sz w:val="22"/>
          <w:szCs w:val="22"/>
        </w:rPr>
        <w:t xml:space="preserve">This replication successfully reproduced all six experiments from the Sarwar et al. (2001) item-based collaborative filtering paper. The core algorithmic findings were confirmed:</w:t>
      </w:r>
    </w:p>
    <w:p/>
    <w:p>
      <w:pPr>
        <w:pStyle w:val="ListParagraph"/>
        <w:numPr>
          <w:ilvl w:val="0"/>
          <w:numId w:val="2"/>
        </w:numPr>
        <w:spacing w:before="40" w:after="40"/>
      </w:pPr>
      <w:r>
        <w:rPr>
          <w:rFonts w:ascii="Arial" w:cs="Arial" w:eastAsia="Arial" w:hAnsi="Arial"/>
          <w:sz w:val="22"/>
          <w:szCs w:val="22"/>
        </w:rPr>
        <w:t xml:space="preserve">Adjusted cosine similarity achieves the best MAE, followed by Pearson, then pure cosine</w:t>
      </w:r>
    </w:p>
    <w:p>
      <w:pPr>
        <w:pStyle w:val="ListParagraph"/>
        <w:numPr>
          <w:ilvl w:val="0"/>
          <w:numId w:val="2"/>
        </w:numPr>
        <w:spacing w:before="40" w:after="40"/>
      </w:pPr>
      <w:r>
        <w:rPr>
          <w:rFonts w:ascii="Arial" w:cs="Arial" w:eastAsia="Arial" w:hAnsi="Arial"/>
          <w:sz w:val="22"/>
          <w:szCs w:val="22"/>
        </w:rPr>
        <w:t xml:space="preserve">MAE decreases monotonically as training density increases</w:t>
      </w:r>
    </w:p>
    <w:p>
      <w:pPr>
        <w:pStyle w:val="ListParagraph"/>
        <w:numPr>
          <w:ilvl w:val="0"/>
          <w:numId w:val="2"/>
        </w:numPr>
        <w:spacing w:before="40" w:after="40"/>
      </w:pPr>
      <w:r>
        <w:rPr>
          <w:rFonts w:ascii="Arial" w:cs="Arial" w:eastAsia="Arial" w:hAnsi="Arial"/>
          <w:sz w:val="22"/>
          <w:szCs w:val="22"/>
        </w:rPr>
        <w:t xml:space="preserve">Item-item MAE reaches a plateau and itm-reg rises after k=30 in neighbourhood size experiments</w:t>
      </w:r>
    </w:p>
    <w:p>
      <w:pPr>
        <w:pStyle w:val="ListParagraph"/>
        <w:numPr>
          <w:ilvl w:val="0"/>
          <w:numId w:val="2"/>
        </w:numPr>
        <w:spacing w:before="40" w:after="40"/>
      </w:pPr>
      <w:r>
        <w:rPr>
          <w:rFonts w:ascii="Arial" w:cs="Arial" w:eastAsia="Arial" w:hAnsi="Arial"/>
          <w:sz w:val="22"/>
          <w:szCs w:val="22"/>
        </w:rPr>
        <w:t xml:space="preserve">Model size compression degrades performance predictably; full model performs best</w:t>
      </w:r>
    </w:p>
    <w:p>
      <w:pPr>
        <w:pStyle w:val="ListParagraph"/>
        <w:numPr>
          <w:ilvl w:val="0"/>
          <w:numId w:val="2"/>
        </w:numPr>
        <w:spacing w:before="40" w:after="40"/>
      </w:pPr>
      <w:r>
        <w:rPr>
          <w:rFonts w:ascii="Arial" w:cs="Arial" w:eastAsia="Arial" w:hAnsi="Arial"/>
          <w:sz w:val="22"/>
          <w:szCs w:val="22"/>
        </w:rPr>
        <w:t xml:space="preserve">10-fold cross-validation results match the paper within 0.002 MAE</w:t>
      </w:r>
    </w:p>
    <w:p/>
    <w:p>
      <w:pPr>
        <w:spacing w:before="60" w:after="60"/>
        <w:jc w:val="left"/>
      </w:pPr>
      <w:r>
        <w:rPr>
          <w:rFonts w:ascii="Arial" w:cs="Arial" w:eastAsia="Arial" w:hAnsi="Arial"/>
          <w:b w:val="false"/>
          <w:bCs w:val="false"/>
          <w:i w:val="false"/>
          <w:iCs w:val="false"/>
          <w:color w:val="000000"/>
          <w:sz w:val="22"/>
          <w:szCs w:val="22"/>
        </w:rPr>
        <w:t xml:space="preserve">The 10-fold cross-validation experiments produced the closest match to the paper (both within 0.0014 of reported values). The primary deviation was Pearson correlation MAE, which exceeded the paper by 0.0551 due to significance weighting configuration. All implementation bugs (sorted indices for searchsorted, directional regression keys, user-mean fallback, significance weighting) were identified and corrected during development.</w:t>
      </w:r>
    </w:p>
    <w:p/>
    <w:p>
      <w:pPr>
        <w:spacing w:before="60" w:after="60"/>
        <w:jc w:val="left"/>
      </w:pPr>
      <w:r>
        <w:rPr>
          <w:rFonts w:ascii="Arial" w:cs="Arial" w:eastAsia="Arial" w:hAnsi="Arial"/>
          <w:b w:val="false"/>
          <w:bCs w:val="false"/>
          <w:i/>
          <w:iCs/>
          <w:color w:val="000000"/>
          <w:sz w:val="22"/>
          <w:szCs w:val="22"/>
        </w:rPr>
        <w:t xml:space="preserve">The complete implementation is available as a single well-documented Jupyter notebook containing all code, outputs, and visualizations.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2026-03-29T14:11:09.378Z</dcterms:created>
  <dcterms:modified xsi:type="dcterms:W3CDTF">2026-03-29T14:11:09.379Z</dcterms:modified>
</cp:coreProperties>
</file>

<file path=docProps/custom.xml><?xml version="1.0" encoding="utf-8"?>
<Properties xmlns="http://schemas.openxmlformats.org/officeDocument/2006/custom-properties" xmlns:vt="http://schemas.openxmlformats.org/officeDocument/2006/docPropsVTypes"/>
</file>