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52"/>
          <w:szCs w:val="52"/>
        </w:rPr>
        <w:t xml:space="preserve">ESPECIFICACIÓN TÉCNICA</w:t>
      </w:r>
    </w:p>
    <w:p>
      <w:pPr>
        <w:spacing w:after="180"/>
        <w:jc w:val="center"/>
      </w:pPr>
      <w:r>
        <w:rPr>
          <w:b/>
          <w:bCs/>
          <w:color w:val="333333"/>
          <w:sz w:val="38"/>
          <w:szCs w:val="38"/>
        </w:rPr>
        <w:t xml:space="preserve">Microservicio de Factura Electrónica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Integración directa con Hacienda · Costa Rica (v4.4 / TRIBU-CR)</w:t>
      </w:r>
    </w:p>
    <w:p>
      <w:pPr>
        <w:spacing w:before="1800"/>
        <w:jc w:val="center"/>
      </w:pPr>
      <w:r>
        <w:rPr>
          <w:i/>
          <w:iCs/>
          <w:sz w:val="22"/>
          <w:szCs w:val="22"/>
        </w:rPr>
        <w:t xml:space="preserve">Adaptador directo del módulo fiscal del ERP Retail</w:t>
      </w:r>
    </w:p>
    <w:p>
      <w:pPr>
        <w:spacing w:before="120"/>
        <w:jc w:val="center"/>
      </w:pPr>
      <w:r>
        <w:rPr>
          <w:sz w:val="22"/>
          <w:szCs w:val="22"/>
        </w:rPr>
        <w:t xml:space="preserve">Versión 1.0 · Junio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y alcance</w:t>
      </w:r>
    </w:p>
    <w:p>
      <w:pPr>
        <w:spacing w:after="120"/>
      </w:pPr>
      <w:r>
        <w:t xml:space="preserve">Este documento especifica el microservicio fiscal que permitirá al ERP emitir y recibir comprobantes electrónicos válidos ante el Ministerio de Hacienda de Costa Rica mediante integración directa con su API (sin depender de un proveedor o pasarela externa). Corresponde a la implementación del “adaptador directo” descrito en el documento de proyecto.</w:t>
      </w:r>
    </w:p>
    <w:p>
      <w:pPr>
        <w:spacing w:after="120"/>
      </w:pPr>
      <w:r>
        <w:t xml:space="preserve">El microservicio se construye en el mismo lenguaje del backend del ERP y se despliega como un componente independiente con su propia base de datos de control (o esquema dedicado), de modo que un cambio en la normativa fiscal no obligue a tocar el resto del ERP.</w:t>
      </w:r>
    </w:p>
    <w:p>
      <w:pPr>
        <w:pStyle w:val="Heading2"/>
      </w:pPr>
      <w:r>
        <w:t xml:space="preserve">1.1 Cubre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Generación del XML según el esquema versión 4.4 (FE, TE, NC, ND, FEC, FEE) y 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Firma digital XAdES-EPES con la llave criptográfica (.p12) del contribuyente.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 OAuth 2.0 / OpenID Connect contra el IdP de Hacienda.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Transmisión a la API de recepción y consulta del estado (aceptado/rechazado).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contingencia, reintentos y bitácora de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Aceptación de comprobantes recibidos de proveedores (mensaje receptor).</w:t>
      </w:r>
    </w:p>
    <w:p>
      <w:pPr>
        <w:pStyle w:val="Heading2"/>
      </w:pPr>
      <w:r>
        <w:t xml:space="preserve">1.2 No cubre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Lógica comercial del ERP (precios, inventario, contabilidad): vive en el ERP.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Emisión de la representación gráfica (PDF), que puede generar el ERP a partir de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Obtención de la llave .p12 (la emite el BCCR) ni el alta del usuario de API (se hace en TRIBU-CR).</w:t>
      </w:r>
    </w:p>
    <w:p>
      <w:pPr>
        <w:pStyle w:val="Heading1"/>
      </w:pPr>
      <w:r>
        <w:t xml:space="preserve">2. Principios de diseño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Independencia: el ERP solo conoce el contrato de API del microservicio, nunca los detalles de Hacienda.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Adaptador intercambiable: el canal (directo / proveedor) se selecciona por configuración; este documento detalla el directo.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Idempotencia: emitir el mismo comprobante dos veces no genera duplicados (clave única).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Asíncrono: la respuesta de Hacienda no es inmediata; se trabaja con estados y callbacks/polling.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Multiempresa: cada empresa tiene su llave, credenciales y consecutivos independientes.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Configurable: catálogos y disposiciones (CAByS, actividades, códigos) se administran como datos, no en código.</w:t>
      </w:r>
    </w:p>
    <w:p>
      <w:pPr>
        <w:pStyle w:val="Heading1"/>
      </w:pPr>
      <w:r>
        <w:t xml:space="preserve">3. Arquitectura del microservicio</w:t>
      </w:r>
    </w:p>
    <w:p>
      <w:pPr>
        <w:spacing w:after="120"/>
      </w:pPr>
      <w:r>
        <w:t xml:space="preserve">El microservicio se organiza en componentes internos con responsabilidades claras: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 (REST)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Expone el contrato hacia el ERP; valida entrada y autentica al ERP (API key/JWT interno).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Generador XML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Construye el XML 4.4 a partir del payload, aplicando catálogos y reglas de negocio fiscal.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Generador de clave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 la clave de 50 dígitos y el consecutivo de 20 dígitos.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Firmador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el XML con XAdES-EPES usando la llave .p12 de la empresa.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OAuth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Obtiene y renueva el token contra el IdP de Hacienda; lo cachea por empresa.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Cliente Hacienda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Envía a la API de recepción y consulta el estado del comprobante.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Orquestador de estados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Máquina de estados, contingencia, reintentos y notificación al ERP (callback).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 de comprobantes, transmisiones, llaves (cifradas) y bitácora.</w:t>
            </w:r>
          </w:p>
        </w:tc>
      </w:tr>
    </w:tbl>
    <w:p>
      <w:pPr>
        <w:pStyle w:val="Heading1"/>
      </w:pPr>
      <w:r>
        <w:t xml:space="preserve">4. Contrato de API (ERP ↔ microservicio)</w:t>
      </w:r>
    </w:p>
    <w:p>
      <w:pPr>
        <w:spacing w:after="120"/>
      </w:pPr>
      <w:r>
        <w:t xml:space="preserve">API REST/JSON. El ERP envía los datos del comprobante en un formato propio y estable; el microservicio se encarga de traducirlos al XML de Hacienda. Endpoints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/api/v1/comprobantes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Emite un comprobante (FE, TE, NC, ND, etc.). Responde con la clave y estado inicial.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/api/v1/comprobantes/{clave}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el estado y la respuesta de Hacienda.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/api/v1/comprobantes/{clave}/reintentar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Fuerza reintento de firma/transmisión (contingencia).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/api/v1/recibidos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 un comprobante recibido de proveedor para su aceptación.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/api/v1/recibidos/{clave}/aceptacion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Envía el mensaje receptor (aceptado/parcial/rechazado).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/api/v1/callbacks (config.)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del ERP donde el microservicio notifica el resultado final.</w:t>
            </w:r>
          </w:p>
        </w:tc>
      </w:tr>
    </w:tbl>
    <w:p>
      <w:pPr>
        <w:pStyle w:val="Heading2"/>
      </w:pPr>
      <w:r>
        <w:t xml:space="preserve">4.1 Ejemplo — solicitud de emisión</w:t>
      </w:r>
    </w:p>
    <w:p>
      <w:pPr>
        <w:pBdr>
          <w:left w:val="single" w:color="1F4E79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POST /api/v1/comprobantes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"empresaId": 1,</w:t>
      </w:r>
      <w:r>
        <w:rPr>
          <w:rFonts w:ascii="Consolas" w:cs="Consolas" w:eastAsia="Consolas" w:hAnsi="Consolas"/>
          <w:sz w:val="18"/>
          <w:szCs w:val="18"/>
        </w:rPr>
        <w:br/>
        <w:t xml:space="preserve">  "tipo": "FE",</w:t>
      </w:r>
      <w:r>
        <w:rPr>
          <w:rFonts w:ascii="Consolas" w:cs="Consolas" w:eastAsia="Consolas" w:hAnsi="Consolas"/>
          <w:sz w:val="18"/>
          <w:szCs w:val="18"/>
        </w:rPr>
        <w:br/>
        <w:t xml:space="preserve">  "condicionVenta": "01",        // 01 contado, 02 crédito</w:t>
      </w:r>
      <w:r>
        <w:rPr>
          <w:rFonts w:ascii="Consolas" w:cs="Consolas" w:eastAsia="Consolas" w:hAnsi="Consolas"/>
          <w:sz w:val="18"/>
          <w:szCs w:val="18"/>
        </w:rPr>
        <w:br/>
        <w:t xml:space="preserve">  "medioPago": ["01"],           // 01 efectivo, 02 tarjeta...</w:t>
      </w:r>
      <w:r>
        <w:rPr>
          <w:rFonts w:ascii="Consolas" w:cs="Consolas" w:eastAsia="Consolas" w:hAnsi="Consolas"/>
          <w:sz w:val="18"/>
          <w:szCs w:val="18"/>
        </w:rPr>
        <w:br/>
        <w:t xml:space="preserve">  "moneda": "USD",</w:t>
      </w:r>
      <w:r>
        <w:rPr>
          <w:rFonts w:ascii="Consolas" w:cs="Consolas" w:eastAsia="Consolas" w:hAnsi="Consolas"/>
          <w:sz w:val="18"/>
          <w:szCs w:val="18"/>
        </w:rPr>
        <w:br/>
        <w:t xml:space="preserve">  "tipoCambio": 510.25,</w:t>
      </w:r>
      <w:r>
        <w:rPr>
          <w:rFonts w:ascii="Consolas" w:cs="Consolas" w:eastAsia="Consolas" w:hAnsi="Consolas"/>
          <w:sz w:val="18"/>
          <w:szCs w:val="18"/>
        </w:rPr>
        <w:br/>
        <w:t xml:space="preserve">  "emisorActividad": "620100",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"receptor":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"tipoIdentificacion": "02",  // 01 física, 02 jurídica</w:t>
      </w:r>
      <w:r>
        <w:rPr>
          <w:rFonts w:ascii="Consolas" w:cs="Consolas" w:eastAsia="Consolas" w:hAnsi="Consolas"/>
          <w:sz w:val="18"/>
          <w:szCs w:val="18"/>
        </w:rPr>
        <w:br/>
        <w:t xml:space="preserve">    "numeroIdentificacion": "3101123456",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"actividadEconomica": "461000",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"nombre": "Tech Solutions S.A.",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"correo": "pagos@techsol.cr"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"lineas":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"cabys": "8311100000000", "detalle": "Laptop Pro 14",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"cantidad": 1, "unidad": "Unid", "precioUnitario": 899.00,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"descuento": 0, "impuesto": { "codigo": "01", "tarifa": 13 }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"referencias": []               // requerido en NC/ND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4.2 Ejemplo — respuesta</w:t>
      </w:r>
    </w:p>
    <w:p>
      <w:pPr>
        <w:pBdr>
          <w:left w:val="single" w:color="1F4E79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200 OK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"clave": "50601...8" ,          // 50 dígitos</w:t>
      </w:r>
      <w:r>
        <w:rPr>
          <w:rFonts w:ascii="Consolas" w:cs="Consolas" w:eastAsia="Consolas" w:hAnsi="Consolas"/>
          <w:sz w:val="18"/>
          <w:szCs w:val="18"/>
        </w:rPr>
        <w:br/>
        <w:t xml:space="preserve">  "consecutivo": "00100001010000000123",</w:t>
      </w:r>
      <w:r>
        <w:rPr>
          <w:rFonts w:ascii="Consolas" w:cs="Consolas" w:eastAsia="Consolas" w:hAnsi="Consolas"/>
          <w:sz w:val="18"/>
          <w:szCs w:val="18"/>
        </w:rPr>
        <w:br/>
        <w:t xml:space="preserve">  "estado": "SENT",               // PENDING|SIGNED|SENT|ACCEPTED|REJECTED|PARTIAL</w:t>
      </w:r>
      <w:r>
        <w:rPr>
          <w:rFonts w:ascii="Consolas" w:cs="Consolas" w:eastAsia="Consolas" w:hAnsi="Consolas"/>
          <w:sz w:val="18"/>
          <w:szCs w:val="18"/>
        </w:rPr>
        <w:br/>
        <w:t xml:space="preserve">  "xmlFirmadoUrl": "/storage/.../firmado.xml"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5. Clave numérica (50) y consecutivo (20)</w:t>
      </w:r>
    </w:p>
    <w:p>
      <w:pPr>
        <w:spacing w:after="120"/>
      </w:pPr>
      <w:r>
        <w:t xml:space="preserve">El microservicio genera ambos identificadores. La clave de 50 dígitos se compone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Dígitos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País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506 (Costa Rica)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Día, mes y año de emisión (DDMMAA)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Cédula emisor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Identificación del emisor, alineada con ceros a la izquierda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número consecutivo del comprobante (ver abajo)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normal, 2 contingencia, 3 sin internet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Código seguridad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Aleatorio de 8 dígitos por comprobante</w:t>
            </w:r>
          </w:p>
        </w:tc>
      </w:tr>
    </w:tbl>
    <w:p>
      <w:pPr>
        <w:spacing w:after="120"/>
      </w:pPr>
      <w:r>
        <w:t xml:space="preserve">El consecutivo de 20 dígitos se estructura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Dígitos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Sucursal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001 casa matriz; 002+ sucursales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Punto de venta / terminal de emisión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comprobante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FE, 02 ND, 03 NC, 04 TE, 08 FEC, 09 FEE...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Secuencia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Consecutivo correlativo por sucursal/terminal/tipo</w:t>
            </w:r>
          </w:p>
        </w:tc>
      </w:tr>
    </w:tbl>
    <w:p>
      <w:pPr>
        <w:spacing w:after="120"/>
      </w:pPr>
      <w:r>
        <w:t xml:space="preserve">La secuencia se administra de forma atómica por (empresa, sucursal, terminal, tipo) para evitar saltos o duplicados; conviene un bloqueo a nivel de base de datos o una secuencia dedicada.</w:t>
      </w:r>
    </w:p>
    <w:p>
      <w:pPr>
        <w:pStyle w:val="Heading1"/>
      </w:pPr>
      <w:r>
        <w:t xml:space="preserve">6. Estructura del XML 4.4</w:t>
      </w:r>
    </w:p>
    <w:p>
      <w:pPr>
        <w:spacing w:after="120"/>
      </w:pPr>
      <w:r>
        <w:t xml:space="preserve">Cada tipo de comprobante tiene su propio esquema XSD (por ejemplo FacturaElectronica_V4.4.xsd) y su espacio de nombres. El generador debe validar contra el XSD oficial antes de firmar. Nodos principales de una Factura Electrónica: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numérica de 50 dígitos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ProveedorSistemas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Identificación del emisor del sistema (si aplica)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CodigoActividadEmisor / Receptor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Actividad económica CIIU 4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NumeroConsecutivo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Consecutivo de 20 dígitos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FechaEmision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Fecha/hora RFC 3339 (yyyy-MM-ddTHH:mm:ssZ)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Emisor / Receptor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Identificación, nombre, ubicación (provincia, cantón, distrito, barrio), correo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CondicionVenta / PlazoCredito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Contado/crédito y plazo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DetalleServicio &gt; LineaDetalle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Líneas con código CAByS, cantidad, unidad, precio, descuento e impuesto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DetalleProductosSurtido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 en 4.4: desglose de combos/surtidos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ResumenFactura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Totales por gravado/exento, impuestos, descuentos y total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Normativa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Resolución y fecha de la normativa vigente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Otros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Información adicional opcional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Importante: la versión 4.4 incorpora el nodo de desglose de combos/surtidos, los códigos de actividad del receptor y la división territorial. El XSD oficial es la fuente de verdad y debe versionarse en el repositorio.</w:t>
      </w:r>
    </w:p>
    <w:p>
      <w:pPr>
        <w:pStyle w:val="Heading1"/>
      </w:pPr>
      <w:r>
        <w:t xml:space="preserve">7. Firma digital (XAdES-EPES)</w:t>
      </w:r>
    </w:p>
    <w:p>
      <w:pPr>
        <w:spacing w:after="120"/>
      </w:pPr>
      <w:r>
        <w:t xml:space="preserve">El XML se firma con el estándar XAdES-EPES (XML Advanced Electronic Signature con política de firma explícita), usando la llave criptográfica .p12 emitida por el BCCR a nombre del contribuyente. Pasos: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Cargar el certificado .p12 y su clave (desde un almacén cifrado / KMS).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Canonicalizar el XML y calcular los digests de las referencias.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Incluir las propiedades firmadas de XAdES: SigningTime, SigningCertificate y SignaturePolicyIdentifier (política de Hacienda).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Firmar con algoritmo RSA-SHA256 y empotrar la firma (enveloped) en el XML.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la firma y el XML contra el XSD antes de transmitir.</w:t>
      </w:r>
    </w:p>
    <w:p>
      <w:pPr>
        <w:spacing w:after="120"/>
      </w:pPr>
      <w:r>
        <w:t xml:space="preserve">Librerías sugeridas según el lenguaje del backend: en Node.js, xml-crypto y node-forge (o xadesjs); en Python, lxml con xmlsec o la librería signxml. La política de firma y la cadena de confianza del BCCR deben mantenerse actualizadas.</w:t>
      </w:r>
    </w:p>
    <w:p>
      <w:pPr>
        <w:pStyle w:val="Heading1"/>
      </w:pPr>
      <w:r>
        <w:t xml:space="preserve">8. Autenticación con Hacienda (OAuth2 / OIDC)</w:t>
      </w:r>
    </w:p>
    <w:p>
      <w:pPr>
        <w:spacing w:after="120"/>
      </w:pPr>
      <w:r>
        <w:t xml:space="preserve">Hacienda usa OpenID Connect sobre OAuth 2.0 a través de un IdP (Keycloak). El microservicio obtiene un token de acceso con las credenciales del usuario de API de cada empresa y lo renueva antes de expirar.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/ nota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endpoint (stag)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https://idp.comprobanteselectronicos.go.cr/auth/realms/rut-stag/protocol/openid-connect/token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endpoint (prod)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…/auth/realms/rut/protocol/openid-connect/token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grant_type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(usuario de API) + refresh_token para renovar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client_id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api-stag (pruebas) / api-prod (producción)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y contraseña de API generados por la empresa en TRIBU-CR</w:t>
            </w:r>
          </w:p>
        </w:tc>
      </w:tr>
    </w:tbl>
    <w:p>
      <w:pPr>
        <w:spacing w:after="120"/>
      </w:pPr>
      <w:r>
        <w:t xml:space="preserve">El token se cachea por empresa en memoria/almacén seguro y se renueva con el refresh_token; ante un 401 se reintenta una vez tras refrescar.</w:t>
      </w:r>
    </w:p>
    <w:p>
      <w:pPr>
        <w:pStyle w:val="Heading1"/>
      </w:pPr>
      <w:r>
        <w:t xml:space="preserve">9. Transmisión y consulta de estado</w:t>
      </w:r>
    </w:p>
    <w:p>
      <w:pPr>
        <w:spacing w:after="120"/>
      </w:pPr>
      <w:r>
        <w:t xml:space="preserve">El comprobante firmado se envía en base64 a la API de recepción. La aceptación es asíncrona: Hacienda responde primero “recibido/procesando” y luego “aceptado/rechazado”.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Recepción (stag)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https://api.comprobanteselectronicos.go.cr/recepcion-sandbox/v1/recepcion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Recepción (prod)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https://api.comprobanteselectronicos.go.cr/recepcion/v1/recepcion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estado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…/recepcion/v1/recepcion/{clave}</w:t>
            </w:r>
          </w:p>
        </w:tc>
      </w:tr>
    </w:tbl>
    <w:p>
      <w:pPr>
        <w:pStyle w:val="Heading2"/>
      </w:pPr>
      <w:r>
        <w:t xml:space="preserve">9.1 Cuerpo de la transmisión</w:t>
      </w:r>
    </w:p>
    <w:p>
      <w:pPr>
        <w:pBdr>
          <w:left w:val="single" w:color="1F4E79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POST /recepcion/v1/recepcion   (Authorization: Bearer &lt;token&gt;)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"clave": "50601...8",</w:t>
      </w:r>
      <w:r>
        <w:rPr>
          <w:rFonts w:ascii="Consolas" w:cs="Consolas" w:eastAsia="Consolas" w:hAnsi="Consolas"/>
          <w:sz w:val="18"/>
          <w:szCs w:val="18"/>
        </w:rPr>
        <w:br/>
        <w:t xml:space="preserve">  "fecha": "2026-06-12T10:15:00-06:00",</w:t>
      </w:r>
      <w:r>
        <w:rPr>
          <w:rFonts w:ascii="Consolas" w:cs="Consolas" w:eastAsia="Consolas" w:hAnsi="Consolas"/>
          <w:sz w:val="18"/>
          <w:szCs w:val="18"/>
        </w:rPr>
        <w:br/>
        <w:t xml:space="preserve">  "emisor":   { "tipoIdentificacion": "02", "numeroIdentificacion": "3101..."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"receptor": { "tipoIdentificacion": "02", "numeroIdentificacion": "3101..." },</w:t>
      </w:r>
      <w:r>
        <w:rPr>
          <w:rFonts w:ascii="Consolas" w:cs="Consolas" w:eastAsia="Consolas" w:hAnsi="Consolas"/>
          <w:sz w:val="18"/>
          <w:szCs w:val="18"/>
        </w:rPr>
        <w:br/>
        <w:t xml:space="preserve">  "comprobanteXml": "&lt;base64 del XML firmado&gt;",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"callbackUrl": "https://erp.miempresa.cr/fiscal/callback"   // opcional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9.2 Estados de respuesta (ind-estado)</w:t>
      </w:r>
    </w:p>
    <w:p>
      <w:pPr>
        <w:spacing w:after="120"/>
      </w:pPr>
      <w:r>
        <w:t xml:space="preserve">La consulta de estado devuelve el campo ind-estado y, cuando finaliza, el mensaje de respuesta (MensajeHacienda) firmado en base64. Valores: recibido, procesando, aceptado, rechazado, error.</w:t>
      </w:r>
    </w:p>
    <w:p>
      <w:pPr>
        <w:pStyle w:val="Heading1"/>
      </w:pPr>
      <w:r>
        <w:t xml:space="preserve">10. Máquina de estados del comprobante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Transición a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Disparador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SIGNED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XML generado y firmado correctamente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Transmitido a Hacienda (recibido/procesando)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REJECTED / PARTIAL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Respuesta final de Hacienda (callback o polling)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conexión/respuesta: situación 2/3 y reintento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Corrección y reemisión (nueva clave)</w:t>
            </w:r>
          </w:p>
        </w:tc>
      </w:tr>
    </w:tbl>
    <w:p>
      <w:pPr>
        <w:pStyle w:val="Heading1"/>
      </w:pPr>
      <w:r>
        <w:t xml:space="preserve">11. Contingencia y reintentos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hay conexión o Hacienda no responde, el comprobante se emite en situación 2 (contingencia) o 3 (sin internet) y se entrega al cliente; la transmisión se encola para reintento.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Reintentos con backoff exponencial; un worker en segundo plano procesa la cola hasta obtener respuesta definitiva.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transmisión y respuesta se registra en la bitácora (tabla hacienda_transmission) con número de intentos y marcas de tiempo.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Alertas cuando un comprobante supera el umbral de reintentos o permanece sin aceptar más de N horas.</w:t>
      </w:r>
    </w:p>
    <w:p>
      <w:pPr>
        <w:pStyle w:val="Heading1"/>
      </w:pPr>
      <w:r>
        <w:t xml:space="preserve">12. Comprobantes recibidos (mensaje receptor)</w:t>
      </w:r>
    </w:p>
    <w:p>
      <w:pPr>
        <w:spacing w:after="120"/>
      </w:pPr>
      <w:r>
        <w:t xml:space="preserve">Como receptor, la empresa debe aceptar (o rechazar) los comprobantes de sus proveedores en TRIBU-CR dentro de los 8 días hábiles del mes siguiente para conservar el crédito de IVA. El microservicio genera y firma el mensaje receptor y lo transmite, registrando el resultado en la tabla received_document.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Aceptado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Aceptado parcial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Rechazado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</w:pPr>
      <w:r>
        <w:t xml:space="preserve">13. Seguridad y custodia de llaves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llaves .p12 y las credenciales de API se almacenan cifradas (KMS/secret manager), nunca en el código ni en texto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a las llaves restringido al firmador; auditoría de cada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Comunicación ERP↔microservicio autenticada (API key o JWT interno) y sobre TLS.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Separación por empresa: una llave/credencial no puede usarse para otra empresa.</w:t>
      </w:r>
    </w:p>
    <w:p>
      <w:pPr>
        <w:pStyle w:val="Heading1"/>
      </w:pPr>
      <w:r>
        <w:t xml:space="preserve">14. Persistencia</w:t>
      </w:r>
    </w:p>
    <w:p>
      <w:pPr>
        <w:spacing w:after="120"/>
      </w:pPr>
      <w:r>
        <w:t xml:space="preserve">El microservicio reutiliza las tablas fiscales ya definidas en el esquema del ERP: invoice (con sus campos fiscales), invoice_reference, payment (REP), hacienda_transmission y received_document, además de los catálogos cabys y economic_activity. Puede operar sobre el mismo esquema o sobre uno dedicado sincronizado por eventos.</w:t>
      </w:r>
    </w:p>
    <w:p>
      <w:pPr>
        <w:pStyle w:val="Heading1"/>
      </w:pPr>
      <w:r>
        <w:t xml:space="preserve">15. Observabilidad y auditoría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Trazas estructuradas por clave de comprobante (correlación de extremo a extremo).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Métricas: emitidos, aceptados, rechazados, en contingencia, tiempo a aceptación.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Bitácora inmutable de envíos y respuestas para auditoría fiscal.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Tablero de comprobantes pendientes/rechazados (vista v_hacienda_pending).</w:t>
      </w:r>
    </w:p>
    <w:p>
      <w:pPr>
        <w:pStyle w:val="Heading1"/>
      </w:pPr>
      <w:r>
        <w:t xml:space="preserve">16. Manejo de errores y rechazos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Errores de validación (XSD/negocio) se devuelven al ERP antes de transmitir, con mensaje claro.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Rechazos de Hacienda se almacenan con su código y detalle; el ERP debe corregir y reemitir (nueva clave).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Catálogo interno de errores frecuentes (CAByS inválido, identificación errónea, firma inválida, token vencido).</w:t>
      </w:r>
    </w:p>
    <w:p>
      <w:pPr>
        <w:pStyle w:val="Heading1"/>
      </w:pPr>
      <w:r>
        <w:t xml:space="preserve">17. Plan de certificación en ambiente de pruebas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Solicitar/usar las credenciales de API y la llave de pruebas en TRIBU-CR (ambiente stag).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Emitir cada tipo de comprobante (FE, TE, NC, ND, FEC, FEE, REP) contra el sandbox.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firma y XSD localmente; confirmar aceptación en Hacienda.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 casos de error y contingencia (rechazos, reintentos, sin conexión).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Pruebas de aceptación de comprobantes recibidos.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Pase a producción con credenciales y llave reales tras certificar.</w:t>
      </w:r>
    </w:p>
    <w:p>
      <w:pPr>
        <w:pStyle w:val="Heading1"/>
      </w:pPr>
      <w:r>
        <w:t xml:space="preserve">18. Mantenimiento y dependencias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Monitorear los comunicados de Hacienda y versionar los XSD y catálogos (CAByS, actividades, ubicaciones).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de actualización ante cambios normativos (p. ej. ajustes anunciados para noviembre de 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Renovación de la llave .p12 antes de su vencimiento.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de regresión automatizadas contra el sandbox de Hacienda.</w:t>
      </w:r>
    </w:p>
    <w:p>
      <w:pPr>
        <w:spacing w:before="200"/>
      </w:pPr>
      <w:r>
        <w:rPr>
          <w:i/>
          <w:iCs/>
          <w:sz w:val="20"/>
          <w:szCs w:val="20"/>
        </w:rPr>
        <w:t xml:space="preserve">Descargo: este documento es una guía técnica basada en información pública de Hacienda a junio de 2026. Antes de producción, validar contra la documentación oficial vigente y con un asesor fiscal costarricense.</w:t>
      </w:r>
    </w:p>
    <w:p>
      <w:pPr>
        <w:pStyle w:val="Heading1"/>
      </w:pPr>
      <w:r>
        <w:t xml:space="preserve">Anexo. Recursos oficiales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Esquemas y anexos v4.4 (ATV/Hacienda): documentación oficial de estructuras XML.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FacturaElectronica_V4.4.xsd: esquema XSD de la factura electrónica.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de recepción: api.comprobanteselectronicos.go.cr (sandbox y producción).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IdP (OAuth/OIDC): idp.comprobanteselectronicos.go.cr.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de implementación abierta: proyecto CRLibre/API_Hacienda (GitHub).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88888"/>
        <w:sz w:val="18"/>
        <w:szCs w:val="18"/>
      </w:rPr>
      <w:t xml:space="preserve">Microservicio Fiscal · Costa 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Microservicio Fiscal CR</dc:title>
  <dc:creator>Cowork</dc:creator>
  <cp:lastModifiedBy>Un-named</cp:lastModifiedBy>
  <cp:revision>1</cp:revision>
  <dcterms:created xsi:type="dcterms:W3CDTF">2026-06-13T04:17:37.543Z</dcterms:created>
  <dcterms:modified xsi:type="dcterms:W3CDTF">2026-06-13T04:17:37.543Z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