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48"/>
          <w:szCs w:val="48"/>
        </w:rPr>
        <w:t xml:space="preserve">ESPECIFICACIÓN DE INTEGRACIÓN</w:t>
      </w:r>
    </w:p>
    <w:p>
      <w:pPr>
        <w:spacing w:after="180"/>
        <w:jc w:val="center"/>
      </w:pPr>
      <w:r>
        <w:rPr>
          <w:b/>
          <w:bCs/>
          <w:color w:val="333333"/>
          <w:sz w:val="40"/>
          <w:szCs w:val="40"/>
        </w:rPr>
        <w:t xml:space="preserve">Página web ↔ ERP</w:t>
      </w:r>
    </w:p>
    <w:p>
      <w:pPr>
        <w:spacing w:after="60"/>
        <w:jc w:val="center"/>
      </w:pPr>
      <w:r>
        <w:rPr>
          <w:color w:val="555555"/>
          <w:sz w:val="23"/>
          <w:szCs w:val="23"/>
        </w:rPr>
        <w:t xml:space="preserve">Carrito y facturación · validación de precios y stock · pago BAC compraCLICK</w:t>
      </w:r>
    </w:p>
    <w:p>
      <w:pPr>
        <w:spacing w:before="1800"/>
        <w:jc w:val="center"/>
      </w:pPr>
      <w:r>
        <w:rPr>
          <w:i/>
          <w:iCs/>
          <w:sz w:val="22"/>
          <w:szCs w:val="22"/>
        </w:rPr>
        <w:t xml:space="preserve">Documento técnico de integración del canal web</w:t>
      </w:r>
    </w:p>
    <w:p>
      <w:pPr>
        <w:spacing w:before="120"/>
        <w:jc w:val="center"/>
      </w:pPr>
      <w:r>
        <w:rPr>
          <w:sz w:val="22"/>
          <w:szCs w:val="22"/>
        </w:rPr>
        <w:t xml:space="preserve">Versión 1.0 · Junio 2026</w:t>
      </w:r>
    </w:p>
    <w:p>
      <w:r>
        <w:br w:type="page"/>
      </w:r>
    </w:p>
    <w:p>
      <w:pPr>
        <w:pStyle w:val="Heading1"/>
      </w:pPr>
      <w:r>
        <w:t xml:space="preserve">Tabla de contenido</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y contexto</w:t>
      </w:r>
    </w:p>
    <w:p>
      <w:pPr>
        <w:spacing w:after="120"/>
      </w:pPr>
      <w:r>
        <w:t xml:space="preserve">Este documento define cómo se conecta la tienda en línea con el resto del sistema. Bajo el modelo de plataforma unificada (Modelo A) adoptado, la tienda NO es un sistema externo con base propia: es un frontend/módulo más sobre el mismo backend y la misma base de datos del ERP, y accede al dominio compartido a través de una capa pública (BFF) de catálogo, precios y pedidos. La tienda no implementa lógica de negocio ni duplica catálogo o inventario; el ERP es la única fuente de verdad.</w:t>
      </w:r>
    </w:p>
    <w:p>
      <w:pPr>
        <w:spacing w:after="120"/>
      </w:pPr>
      <w:r>
        <w:t xml:space="preserve">Nota: los endpoints descritos aquí corresponden a esa capa pública/BFF. Si en el futuro la tienda se extrajera como servicio independiente, el mismo contrato seguiría siendo válido.</w:t>
      </w:r>
    </w:p>
    <w:p>
      <w:pPr>
        <w:pStyle w:val="Heading2"/>
      </w:pPr>
      <w:r>
        <w:t xml:space="preserve">1.1 Flujo de negocio acordado</w:t>
      </w:r>
    </w:p>
    <w:p>
      <w:pPr>
        <w:pStyle w:val="ListParagraph"/>
        <w:numPr>
          <w:ilvl w:val="0"/>
          <w:numId w:val="2"/>
        </w:numPr>
        <w:spacing w:after="60"/>
      </w:pPr>
      <w:r>
        <w:t xml:space="preserve">El cliente arma el carrito en la web; la web valida precios y stock contra el ERP.</w:t>
      </w:r>
    </w:p>
    <w:p>
      <w:pPr>
        <w:pStyle w:val="ListParagraph"/>
        <w:numPr>
          <w:ilvl w:val="0"/>
          <w:numId w:val="2"/>
        </w:numPr>
        <w:spacing w:after="60"/>
      </w:pPr>
      <w:r>
        <w:t xml:space="preserve">Al confirmar, la web crea un pedido en el ERP (estado: recibido).</w:t>
      </w:r>
    </w:p>
    <w:p>
      <w:pPr>
        <w:pStyle w:val="ListParagraph"/>
        <w:numPr>
          <w:ilvl w:val="0"/>
          <w:numId w:val="2"/>
        </w:numPr>
        <w:spacing w:after="60"/>
      </w:pPr>
      <w:r>
        <w:t xml:space="preserve">Un agente revisa inventario y valida la venta (control previo al cobro).</w:t>
      </w:r>
    </w:p>
    <w:p>
      <w:pPr>
        <w:pStyle w:val="ListParagraph"/>
        <w:numPr>
          <w:ilvl w:val="0"/>
          <w:numId w:val="2"/>
        </w:numPr>
        <w:spacing w:after="60"/>
      </w:pPr>
      <w:r>
        <w:t xml:space="preserve">El ERP genera un enlace de pago BAC compraCLICK y lo envía al cliente por correo o teléfono.</w:t>
      </w:r>
    </w:p>
    <w:p>
      <w:pPr>
        <w:pStyle w:val="ListParagraph"/>
        <w:numPr>
          <w:ilvl w:val="0"/>
          <w:numId w:val="2"/>
        </w:numPr>
        <w:spacing w:after="60"/>
      </w:pPr>
      <w:r>
        <w:t xml:space="preserve">El cliente paga de forma segura (3D Secure) en la página de BAC.</w:t>
      </w:r>
    </w:p>
    <w:p>
      <w:pPr>
        <w:pStyle w:val="ListParagraph"/>
        <w:numPr>
          <w:ilvl w:val="0"/>
          <w:numId w:val="2"/>
        </w:numPr>
        <w:spacing w:after="60"/>
      </w:pPr>
      <w:r>
        <w:t xml:space="preserve">BAC confirma el pago; el ERP marca el pedido como pagado.</w:t>
      </w:r>
    </w:p>
    <w:p>
      <w:pPr>
        <w:pStyle w:val="ListParagraph"/>
        <w:numPr>
          <w:ilvl w:val="0"/>
          <w:numId w:val="2"/>
        </w:numPr>
        <w:spacing w:after="60"/>
      </w:pPr>
      <w:r>
        <w:t xml:space="preserve">El ERP emite la factura electrónica (Hacienda) y notifica al cliente.</w:t>
      </w:r>
    </w:p>
    <w:p>
      <w:pPr>
        <w:spacing w:after="120"/>
      </w:pPr>
      <w:r>
        <w:rPr>
          <w:i/>
          <w:iCs/>
          <w:sz w:val="20"/>
          <w:szCs w:val="20"/>
        </w:rPr>
        <w:t xml:space="preserve">Este flujo con revisión previa al cobro es deliberado: evita vender lo que no hay en stock y permite validar la venta antes de cobrar.</w:t>
      </w:r>
    </w:p>
    <w:p>
      <w:pPr>
        <w:pStyle w:val="Heading1"/>
      </w:pPr>
      <w:r>
        <w:t xml:space="preserve">2. Arquitectura de integración</w:t>
      </w:r>
    </w:p>
    <w:p>
      <w:pPr>
        <w:spacing w:after="120"/>
      </w:pPr>
      <w:r>
        <w:t xml:space="preserve">La tienda consume la capa pública/BFF de comercio (REST/JSON) del backend unificado, que opera sobre la misma base de datos en red privada. El cobro se delega a BAC compraCLICK mediante enlaces de pago; la facturación se delega al microservicio fiscal. La tienda nunca habla con Hacienda ni con BAC directamente para datos sensibles, ni accede a la base de datos: solo a la capa pública de alcance reducido.</w:t>
      </w:r>
    </w:p>
    <w:p>
      <w:pPr>
        <w:spacing w:after="120"/>
      </w:pPr>
      <w:r>
        <w:t xml:space="preserve">Esquema lógico: Web (frontend propio) → API de comercio del ERP → núcleo del ERP (inventario, ventas, clientes) → microservicio fiscal (Hacienda) y conector de pagos (BAC compraCLICK). BAC notifica el pago al ERP por webhook.</w:t>
      </w:r>
    </w:p>
    <w:p>
      <w:pPr>
        <w:pStyle w:val="Heading1"/>
      </w:pPr>
      <w:r>
        <w:t xml:space="preserve">3. Autenticación y seguridad</w:t>
      </w:r>
    </w:p>
    <w:p>
      <w:pPr>
        <w:pStyle w:val="ListParagraph"/>
        <w:numPr>
          <w:ilvl w:val="0"/>
          <w:numId w:val="3"/>
        </w:numPr>
        <w:spacing w:after="60"/>
      </w:pPr>
      <w:r>
        <w:t xml:space="preserve">La web se autentica como api_client con client_key + secret (OAuth client credentials o API key firmada); nunca expone el secreto en el navegador (las llamadas sensibles salen del servidor de la web, no del cliente).</w:t>
      </w:r>
    </w:p>
    <w:p>
      <w:pPr>
        <w:pStyle w:val="ListParagraph"/>
        <w:numPr>
          <w:ilvl w:val="0"/>
          <w:numId w:val="3"/>
        </w:numPr>
        <w:spacing w:after="60"/>
      </w:pPr>
      <w:r>
        <w:t xml:space="preserve">Todo sobre HTTPS/TLS; alcances (scopes) por cliente: catalog:read, inventory:read, orders:write, payments:read.</w:t>
      </w:r>
    </w:p>
    <w:p>
      <w:pPr>
        <w:pStyle w:val="ListParagraph"/>
        <w:numPr>
          <w:ilvl w:val="0"/>
          <w:numId w:val="3"/>
        </w:numPr>
        <w:spacing w:after="60"/>
      </w:pPr>
      <w:r>
        <w:t xml:space="preserve">Límite de tasa (rate limiting) y CORS restringido al dominio de la web.</w:t>
      </w:r>
    </w:p>
    <w:p>
      <w:pPr>
        <w:pStyle w:val="ListParagraph"/>
        <w:numPr>
          <w:ilvl w:val="0"/>
          <w:numId w:val="3"/>
        </w:numPr>
        <w:spacing w:after="60"/>
      </w:pPr>
      <w:r>
        <w:t xml:space="preserve">Webhooks entrantes (pago) firmados/verificados y con idempotencia (tabla webhook_event).</w:t>
      </w:r>
    </w:p>
    <w:p>
      <w:pPr>
        <w:pStyle w:val="Heading1"/>
      </w:pPr>
      <w:r>
        <w:t xml:space="preserve">4. Catálogo y precios</w:t>
      </w:r>
    </w:p>
    <w:p>
      <w:pPr>
        <w:spacing w:after="120"/>
      </w:pPr>
      <w:r>
        <w:t xml:space="preserve">La web obtiene solo los productos marcados como visibles en la tienda (campo web_published del producto) y sus precios desde el ERP, respetando la lista de precios del canal web. Cada producto puede tener título/descripción/URL para la web y una galería de imágenes (product_image).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Método</w:t>
            </w:r>
          </w:p>
        </w:tc>
        <w:tc>
          <w:tcPr>
            <w:tcW w:type="dxa" w:w="5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Descripción</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/api/v1/catalog</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Solo productos con web_published = verdadero (filtros, paginación, since para sincronización incremental).</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/api/v1/products/{sku}</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Detalle de un producto, precio vigente y disponibilidad.</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/api/v1/price-lists</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Listas de precios por moneda aplicables al canal web.</w:t>
            </w:r>
          </w:p>
        </w:tc>
      </w:tr>
    </w:tbl>
    <w:p>
      <w:pPr>
        <w:spacing w:after="120"/>
      </w:pPr>
      <w:r>
        <w:t xml:space="preserve">Optimización: la web puede cachear el catálogo y sincronizar incrementalmente (parámetro since / updated_at), de modo que solo trae lo que cambió.</w:t>
      </w:r>
    </w:p>
    <w:p>
      <w:pPr>
        <w:pStyle w:val="Heading1"/>
      </w:pPr>
      <w:r>
        <w:t xml:space="preserve">5. Validación de precios y stock en tiempo real</w:t>
      </w:r>
    </w:p>
    <w:p>
      <w:pPr>
        <w:spacing w:after="120"/>
      </w:pPr>
      <w:r>
        <w:t xml:space="preserve">Antes de permitir el checkout, la web valida el carrito completo en una sola llamada. Esto evita vender a precio desactualizado o sin existencias y minimiza procesos posteriores.</w:t>
      </w:r>
    </w:p>
    <w:p>
      <w:pPr>
        <w:pBdr>
          <w:left w:val="single" w:color="1F4E79" w:sz="12" w:space="6"/>
        </w:pBdr>
        <w:shd w:fill="F4F4F2" w:val="clear"/>
        <w:spacing w:after="120" w:before="60"/>
      </w:pPr>
      <w:r>
        <w:rPr>
          <w:rFonts w:ascii="Consolas" w:cs="Consolas" w:eastAsia="Consolas" w:hAnsi="Consolas"/>
          <w:sz w:val="18"/>
          <w:szCs w:val="18"/>
        </w:rPr>
        <w:t xml:space="preserve">POST /api/v1/cart/validate</w:t>
      </w:r>
      <w:r>
        <w:rPr>
          <w:rFonts w:ascii="Consolas" w:cs="Consolas" w:eastAsia="Consolas" w:hAnsi="Consolas"/>
          <w:sz w:val="18"/>
          <w:szCs w:val="18"/>
        </w:rPr>
        <w:br/>
        <w:t xml:space="preserve">{</w:t>
      </w:r>
      <w:r>
        <w:rPr>
          <w:rFonts w:ascii="Consolas" w:cs="Consolas" w:eastAsia="Consolas" w:hAnsi="Consolas"/>
          <w:sz w:val="18"/>
          <w:szCs w:val="18"/>
        </w:rPr>
        <w:br/>
        <w:t xml:space="preserve">  "moneda": "CRC",</w:t>
      </w:r>
      <w:r>
        <w:rPr>
          <w:rFonts w:ascii="Consolas" w:cs="Consolas" w:eastAsia="Consolas" w:hAnsi="Consolas"/>
          <w:sz w:val="18"/>
          <w:szCs w:val="18"/>
        </w:rPr>
        <w:br/>
        <w:t xml:space="preserve">  "items": [</w:t>
      </w:r>
      <w:r>
        <w:rPr>
          <w:rFonts w:ascii="Consolas" w:cs="Consolas" w:eastAsia="Consolas" w:hAnsi="Consolas"/>
          <w:sz w:val="18"/>
          <w:szCs w:val="18"/>
        </w:rPr>
        <w:br/>
        <w:t xml:space="preserve">    { "sku": "NB-001", "cantidad": 1 },</w:t>
      </w:r>
      <w:r>
        <w:rPr>
          <w:rFonts w:ascii="Consolas" w:cs="Consolas" w:eastAsia="Consolas" w:hAnsi="Consolas"/>
          <w:sz w:val="18"/>
          <w:szCs w:val="18"/>
        </w:rPr>
        <w:br/>
        <w:t xml:space="preserve">    { "sku": "MO-310", "cantidad": 2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"valido": true,</w:t>
      </w:r>
      <w:r>
        <w:rPr>
          <w:rFonts w:ascii="Consolas" w:cs="Consolas" w:eastAsia="Consolas" w:hAnsi="Consolas"/>
          <w:sz w:val="18"/>
          <w:szCs w:val="18"/>
        </w:rPr>
        <w:br/>
        <w:t xml:space="preserve">  "items": [</w:t>
      </w:r>
      <w:r>
        <w:rPr>
          <w:rFonts w:ascii="Consolas" w:cs="Consolas" w:eastAsia="Consolas" w:hAnsi="Consolas"/>
          <w:sz w:val="18"/>
          <w:szCs w:val="18"/>
        </w:rPr>
        <w:br/>
        <w:t xml:space="preserve">    { "sku": "NB-001", "precioUnitario": 459000, "disponible": 9, "ok": true },</w:t>
      </w:r>
      <w:r>
        <w:rPr>
          <w:rFonts w:ascii="Consolas" w:cs="Consolas" w:eastAsia="Consolas" w:hAnsi="Consolas"/>
          <w:sz w:val="18"/>
          <w:szCs w:val="18"/>
        </w:rPr>
        <w:br/>
        <w:t xml:space="preserve">    { "sku": "MO-310", "precioUnitario": 9200,  "disponible": 4, "ok": true }</w:t>
      </w:r>
      <w:r>
        <w:rPr>
          <w:rFonts w:ascii="Consolas" w:cs="Consolas" w:eastAsia="Consolas" w:hAnsi="Consolas"/>
          <w:sz w:val="18"/>
          <w:szCs w:val="18"/>
        </w:rPr>
        <w:br/>
        <w:t xml:space="preserve">  ],</w:t>
      </w:r>
      <w:r>
        <w:rPr>
          <w:rFonts w:ascii="Consolas" w:cs="Consolas" w:eastAsia="Consolas" w:hAnsi="Consolas"/>
          <w:sz w:val="18"/>
          <w:szCs w:val="18"/>
        </w:rPr>
        <w:br/>
        <w:t xml:space="preserve">  "subtotal": 477400, "impuesto": 62062, "total": 539462</w:t>
      </w:r>
      <w:r>
        <w:rPr>
          <w:rFonts w:ascii="Consolas" w:cs="Consolas" w:eastAsia="Consolas" w:hAnsi="Consolas"/>
          <w:sz w:val="18"/>
          <w:szCs w:val="18"/>
        </w:rPr>
        <w:br/>
        <w:t xml:space="preserve">}</w:t>
      </w:r>
    </w:p>
    <w:p>
      <w:pPr>
        <w:spacing w:after="120"/>
      </w:pPr>
      <w:r>
        <w:t xml:space="preserve">Si un ítem cambió de precio o no hay stock, el servicio responde ok:false en esa línea con el precio/disponibilidad actuales, y la web actualiza el carrito antes de continuar.</w:t>
      </w:r>
    </w:p>
    <w:p>
      <w:pPr>
        <w:pStyle w:val="Heading1"/>
      </w:pPr>
      <w:r>
        <w:t xml:space="preserve">6. Creación del pedido desde el carrito</w:t>
      </w:r>
    </w:p>
    <w:p>
      <w:pPr>
        <w:spacing w:after="120"/>
      </w:pPr>
      <w:r>
        <w:t xml:space="preserve">Al confirmar, la web envía el pedido. Se usa una clave de idempotencia para que un reintento no genere pedidos duplicados.</w:t>
      </w:r>
    </w:p>
    <w:p>
      <w:pPr>
        <w:pBdr>
          <w:left w:val="single" w:color="1F4E79" w:sz="12" w:space="6"/>
        </w:pBdr>
        <w:shd w:fill="F4F4F2" w:val="clear"/>
        <w:spacing w:after="120" w:before="60"/>
      </w:pPr>
      <w:r>
        <w:rPr>
          <w:rFonts w:ascii="Consolas" w:cs="Consolas" w:eastAsia="Consolas" w:hAnsi="Consolas"/>
          <w:sz w:val="18"/>
          <w:szCs w:val="18"/>
        </w:rPr>
        <w:t xml:space="preserve">POST /api/v1/orders        (Idempotency-Key: 9f8c-...)</w:t>
      </w:r>
      <w:r>
        <w:rPr>
          <w:rFonts w:ascii="Consolas" w:cs="Consolas" w:eastAsia="Consolas" w:hAnsi="Consolas"/>
          <w:sz w:val="18"/>
          <w:szCs w:val="18"/>
        </w:rPr>
        <w:br/>
        <w:t xml:space="preserve">{</w:t>
      </w:r>
      <w:r>
        <w:rPr>
          <w:rFonts w:ascii="Consolas" w:cs="Consolas" w:eastAsia="Consolas" w:hAnsi="Consolas"/>
          <w:sz w:val="18"/>
          <w:szCs w:val="18"/>
        </w:rPr>
        <w:br/>
        <w:t xml:space="preserve">  "externalRef": "WEB-20260612-0007",</w:t>
      </w:r>
      <w:r>
        <w:rPr>
          <w:rFonts w:ascii="Consolas" w:cs="Consolas" w:eastAsia="Consolas" w:hAnsi="Consolas"/>
          <w:sz w:val="18"/>
          <w:szCs w:val="18"/>
        </w:rPr>
        <w:br/>
        <w:t xml:space="preserve">  "cliente": { "nombre": "Juan Pérez", "identificacion": "1-1234-5678",</w:t>
      </w:r>
      <w:r>
        <w:rPr>
          <w:rFonts w:ascii="Consolas" w:cs="Consolas" w:eastAsia="Consolas" w:hAnsi="Consolas"/>
          <w:sz w:val="18"/>
          <w:szCs w:val="18"/>
        </w:rPr>
        <w:br/>
        <w:t xml:space="preserve">               "email": "juan@correo.cr", "telefono": "8888-0000" },</w:t>
      </w:r>
      <w:r>
        <w:rPr>
          <w:rFonts w:ascii="Consolas" w:cs="Consolas" w:eastAsia="Consolas" w:hAnsi="Consolas"/>
          <w:sz w:val="18"/>
          <w:szCs w:val="18"/>
        </w:rPr>
        <w:br/>
        <w:t xml:space="preserve">  "moneda": "CRC",</w:t>
      </w:r>
      <w:r>
        <w:rPr>
          <w:rFonts w:ascii="Consolas" w:cs="Consolas" w:eastAsia="Consolas" w:hAnsi="Consolas"/>
          <w:sz w:val="18"/>
          <w:szCs w:val="18"/>
        </w:rPr>
        <w:br/>
        <w:t xml:space="preserve">  "items": [ { "sku": "NB-001", "cantidad": 1 }, { "sku": "MO-310", "cantidad": 2 } ],</w:t>
      </w:r>
      <w:r>
        <w:rPr>
          <w:rFonts w:ascii="Consolas" w:cs="Consolas" w:eastAsia="Consolas" w:hAnsi="Consolas"/>
          <w:sz w:val="18"/>
          <w:szCs w:val="18"/>
        </w:rPr>
        <w:br/>
        <w:t xml:space="preserve">  "notas": "Entrega en sucursal Centro"</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201 Created</w:t>
      </w:r>
      <w:r>
        <w:rPr>
          <w:rFonts w:ascii="Consolas" w:cs="Consolas" w:eastAsia="Consolas" w:hAnsi="Consolas"/>
          <w:sz w:val="18"/>
          <w:szCs w:val="18"/>
        </w:rPr>
        <w:br/>
        <w:t xml:space="preserve">{ "ordenId": 5012, "numero": "PED-5012", "estadoWeb": "RECEIVED" }</w:t>
      </w:r>
    </w:p>
    <w:p>
      <w:pPr>
        <w:spacing w:after="120"/>
      </w:pPr>
      <w:r>
        <w:t xml:space="preserve">El ERP crea el pedido con channel=WEB y web_status=RECEIVED, registra/asocia el cliente (creándolo si no existe) y guarda externalRef para conciliación. El pedido aún no afecta inventario de forma definitiva ni factura.</w:t>
      </w:r>
    </w:p>
    <w:p>
      <w:pPr>
        <w:pStyle w:val="Heading1"/>
      </w:pPr>
      <w:r>
        <w:t xml:space="preserve">7. Revisión y validación de inventario</w:t>
      </w:r>
    </w:p>
    <w:p>
      <w:pPr>
        <w:pStyle w:val="ListParagraph"/>
        <w:numPr>
          <w:ilvl w:val="0"/>
          <w:numId w:val="3"/>
        </w:numPr>
        <w:spacing w:after="60"/>
      </w:pPr>
      <w:r>
        <w:t xml:space="preserve">El pedido web aparece en la bandeja del ERP (vista v_web_orders_pending).</w:t>
      </w:r>
    </w:p>
    <w:p>
      <w:pPr>
        <w:pStyle w:val="ListParagraph"/>
        <w:numPr>
          <w:ilvl w:val="0"/>
          <w:numId w:val="3"/>
        </w:numPr>
        <w:spacing w:after="60"/>
      </w:pPr>
      <w:r>
        <w:t xml:space="preserve">El agente confirma existencias y valida la venta; puede reservar el stock al validar.</w:t>
      </w:r>
    </w:p>
    <w:p>
      <w:pPr>
        <w:pStyle w:val="ListParagraph"/>
        <w:numPr>
          <w:ilvl w:val="0"/>
          <w:numId w:val="3"/>
        </w:numPr>
        <w:spacing w:after="60"/>
      </w:pPr>
      <w:r>
        <w:t xml:space="preserve">Al validar, web_status pasa a VALIDATED y queda listo para cobro.</w:t>
      </w:r>
    </w:p>
    <w:p>
      <w:pPr>
        <w:pStyle w:val="Heading1"/>
      </w:pPr>
      <w:r>
        <w:t xml:space="preserve">8. Enlace de pago (BAC compraCLICK)</w:t>
      </w:r>
    </w:p>
    <w:p>
      <w:pPr>
        <w:spacing w:after="120"/>
      </w:pPr>
      <w:r>
        <w:t xml:space="preserve">Validado el pedido, el ERP genera un enlace de pago compraCLICK por el monto total y lo envía al cliente por correo o teléfono (WhatsApp/SMS).</w:t>
      </w:r>
    </w:p>
    <w:p>
      <w:pPr>
        <w:pBdr>
          <w:left w:val="single" w:color="1F4E79" w:sz="12" w:space="6"/>
        </w:pBdr>
        <w:shd w:fill="F4F4F2" w:val="clear"/>
        <w:spacing w:after="120" w:before="60"/>
      </w:pPr>
      <w:r>
        <w:rPr>
          <w:rFonts w:ascii="Consolas" w:cs="Consolas" w:eastAsia="Consolas" w:hAnsi="Consolas"/>
          <w:sz w:val="18"/>
          <w:szCs w:val="18"/>
        </w:rPr>
        <w:t xml:space="preserve">POST /api/v1/orders/5012/payment-link</w:t>
      </w:r>
      <w:r>
        <w:rPr>
          <w:rFonts w:ascii="Consolas" w:cs="Consolas" w:eastAsia="Consolas" w:hAnsi="Consolas"/>
          <w:sz w:val="18"/>
          <w:szCs w:val="18"/>
        </w:rPr>
        <w:br/>
        <w:t xml:space="preserve">{</w:t>
      </w:r>
      <w:r>
        <w:rPr>
          <w:rFonts w:ascii="Consolas" w:cs="Consolas" w:eastAsia="Consolas" w:hAnsi="Consolas"/>
          <w:sz w:val="18"/>
          <w:szCs w:val="18"/>
        </w:rPr>
        <w:br/>
        <w:t xml:space="preserve">  "canal": "EMAIL",                 // EMAIL | SMS | WHATSAPP</w:t>
      </w:r>
      <w:r>
        <w:rPr>
          <w:rFonts w:ascii="Consolas" w:cs="Consolas" w:eastAsia="Consolas" w:hAnsi="Consolas"/>
          <w:sz w:val="18"/>
          <w:szCs w:val="18"/>
        </w:rPr>
        <w:br/>
        <w:t xml:space="preserve">  "expiraEn": "2026-06-13T23:59:00-06:00"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"paymentLinkId": 88, "url": "https://...bac.../pay/abc123",</w:t>
      </w:r>
      <w:r>
        <w:rPr>
          <w:rFonts w:ascii="Consolas" w:cs="Consolas" w:eastAsia="Consolas" w:hAnsi="Consolas"/>
          <w:sz w:val="18"/>
          <w:szCs w:val="18"/>
        </w:rPr>
        <w:br/>
        <w:t xml:space="preserve">  "estado": "SENT", "monto": 539462, "moneda": "CRC"</w:t>
      </w:r>
      <w:r>
        <w:rPr>
          <w:rFonts w:ascii="Consolas" w:cs="Consolas" w:eastAsia="Consolas" w:hAnsi="Consolas"/>
          <w:sz w:val="18"/>
          <w:szCs w:val="18"/>
        </w:rPr>
        <w:br/>
        <w:t xml:space="preserve">}</w:t>
      </w:r>
    </w:p>
    <w:p>
      <w:pPr>
        <w:spacing w:after="120"/>
      </w:pPr>
      <w:r>
        <w:t xml:space="preserve">El enlace se registra en payment_link (estado CREATED→SENT) y web_status pasa a AWAIT_PAYMENT. La transacción de pago ocurre en la página segura de BAC con 3D Secure; el ERP no almacena datos de tarjeta.</w:t>
      </w:r>
    </w:p>
    <w:p>
      <w:pPr>
        <w:pStyle w:val="Heading1"/>
      </w:pPr>
      <w:r>
        <w:t xml:space="preserve">9. Confirmación del pago</w:t>
      </w:r>
    </w:p>
    <w:p>
      <w:pPr>
        <w:spacing w:after="120"/>
      </w:pPr>
      <w:r>
        <w:t xml:space="preserve">BAC notifica el resultado del pago. El ERP lo procesa de forma idempotente y actualiza el pedido.</w:t>
      </w:r>
    </w:p>
    <w:p>
      <w:pPr>
        <w:pStyle w:val="ListParagraph"/>
        <w:numPr>
          <w:ilvl w:val="0"/>
          <w:numId w:val="3"/>
        </w:numPr>
        <w:spacing w:after="60"/>
      </w:pPr>
      <w:r>
        <w:t xml:space="preserve">Vía webhook: BAC llama a /api/v1/webhooks/bac con el resultado (aprobado/rechazado); se registra en webhook_event.</w:t>
      </w:r>
    </w:p>
    <w:p>
      <w:pPr>
        <w:pStyle w:val="ListParagraph"/>
        <w:numPr>
          <w:ilvl w:val="0"/>
          <w:numId w:val="3"/>
        </w:numPr>
        <w:spacing w:after="60"/>
      </w:pPr>
      <w:r>
        <w:t xml:space="preserve">Alternativa/contingencia: conciliación con el reporte/notificación de compraCLICK si el webhook no está disponible.</w:t>
      </w:r>
    </w:p>
    <w:p>
      <w:pPr>
        <w:pStyle w:val="ListParagraph"/>
        <w:numPr>
          <w:ilvl w:val="0"/>
          <w:numId w:val="3"/>
        </w:numPr>
        <w:spacing w:after="60"/>
      </w:pPr>
      <w:r>
        <w:t xml:space="preserve">Al aprobarse: payment_link=PAID, se registra el pago (tabla payment), web_status=PAID y se descuenta inventario en firme.</w:t>
      </w:r>
    </w:p>
    <w:p>
      <w:pPr>
        <w:pStyle w:val="Heading1"/>
      </w:pPr>
      <w:r>
        <w:t xml:space="preserve">10. Facturación posterior</w:t>
      </w:r>
    </w:p>
    <w:p>
      <w:pPr>
        <w:spacing w:after="120"/>
      </w:pPr>
      <w:r>
        <w:t xml:space="preserve">Con el pago confirmado, el ERP emite el comprobante electrónico (FE o TE según el cliente) a través del microservicio fiscal, lo enlaza al pedido y al payment_link, y envía el comprobante al cliente. Por la normativa, conviene emitir el comprobante una vez confirmado el pago.</w:t>
      </w:r>
    </w:p>
    <w:p>
      <w:pPr>
        <w:pStyle w:val="Heading1"/>
      </w:pPr>
      <w:r>
        <w:t xml:space="preserve">11. Notificaciones al cliente</w:t>
      </w:r>
    </w:p>
    <w:p>
      <w:pPr>
        <w:spacing w:after="120"/>
      </w:pPr>
      <w:r>
        <w:t xml:space="preserve">Se reutiliza el módulo de notificaciones (WhatsApp/Email): confirmación de pedido recibido, envío del enlace de pago, confirmación de pago y envío de la factura, con plantillas configurables.</w:t>
      </w:r>
    </w:p>
    <w:p>
      <w:pPr>
        <w:pStyle w:val="Heading1"/>
      </w:pPr>
      <w:r>
        <w:t xml:space="preserve">12. Optimización y minimización de procesos</w:t>
      </w:r>
    </w:p>
    <w:p>
      <w:pPr>
        <w:pStyle w:val="ListParagraph"/>
        <w:numPr>
          <w:ilvl w:val="0"/>
          <w:numId w:val="3"/>
        </w:numPr>
        <w:spacing w:after="60"/>
      </w:pPr>
      <w:r>
        <w:t xml:space="preserve">Una sola llamada de validación de carrito (precio + stock + impuestos) antes del checkout: evita errores y reprocesos.</w:t>
      </w:r>
    </w:p>
    <w:p>
      <w:pPr>
        <w:pStyle w:val="ListParagraph"/>
        <w:numPr>
          <w:ilvl w:val="0"/>
          <w:numId w:val="3"/>
        </w:numPr>
        <w:spacing w:after="60"/>
      </w:pPr>
      <w:r>
        <w:t xml:space="preserve">Catálogo cacheado con sincronización incremental (since): menos llamadas y páginas más rápidas.</w:t>
      </w:r>
    </w:p>
    <w:p>
      <w:pPr>
        <w:pStyle w:val="ListParagraph"/>
        <w:numPr>
          <w:ilvl w:val="0"/>
          <w:numId w:val="3"/>
        </w:numPr>
        <w:spacing w:after="60"/>
      </w:pPr>
      <w:r>
        <w:t xml:space="preserve">Idempotencia en creación de pedidos y en webhooks: cero duplicados ante reintentos.</w:t>
      </w:r>
    </w:p>
    <w:p>
      <w:pPr>
        <w:pStyle w:val="ListParagraph"/>
        <w:numPr>
          <w:ilvl w:val="0"/>
          <w:numId w:val="3"/>
        </w:numPr>
        <w:spacing w:after="60"/>
      </w:pPr>
      <w:r>
        <w:t xml:space="preserve">Alta automática del cliente desde el pedido: sin recaptura.</w:t>
      </w:r>
    </w:p>
    <w:p>
      <w:pPr>
        <w:pStyle w:val="ListParagraph"/>
        <w:numPr>
          <w:ilvl w:val="0"/>
          <w:numId w:val="3"/>
        </w:numPr>
        <w:spacing w:after="60"/>
      </w:pPr>
      <w:r>
        <w:t xml:space="preserve">Reutilización del inventario, precios, fiscal y notificaciones del ERP: la web no duplica lógica.</w:t>
      </w:r>
    </w:p>
    <w:p>
      <w:pPr>
        <w:pStyle w:val="ListParagraph"/>
        <w:numPr>
          <w:ilvl w:val="0"/>
          <w:numId w:val="3"/>
        </w:numPr>
        <w:spacing w:after="60"/>
      </w:pPr>
      <w:r>
        <w:t xml:space="preserve">Reglas configurables (tipo de comprobante, lista de precios del canal web, reserva de stock al validar).</w:t>
      </w:r>
    </w:p>
    <w:p>
      <w:pPr>
        <w:pStyle w:val="ListParagraph"/>
        <w:numPr>
          <w:ilvl w:val="0"/>
          <w:numId w:val="3"/>
        </w:numPr>
        <w:spacing w:after="60"/>
      </w:pPr>
      <w:r>
        <w:t xml:space="preserve">Estados claros (web_status) y bandeja única para que el agente trabaje por excepción.</w:t>
      </w:r>
    </w:p>
    <w:p>
      <w:pPr>
        <w:pStyle w:val="Heading1"/>
      </w:pPr>
      <w:r>
        <w:t xml:space="preserve">13. Estados y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Entidad</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Campo</w:t>
            </w:r>
          </w:p>
        </w:tc>
        <w:tc>
          <w:tcPr>
            <w:tcW w:type="dxa" w:w="3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Valores</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sales_order</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channel</w:t>
            </w:r>
          </w:p>
        </w:tc>
        <w:tc>
          <w:tcPr>
            <w:tcW w:type="dxa" w:w="3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WEB / POS / PHONE / MANUAL</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sales_order</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web_status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RECEIVED → VALIDATED → AWAIT_PAYMENT → PAID (o REJECTED)</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payment_link</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status</w:t>
            </w:r>
          </w:p>
        </w:tc>
        <w:tc>
          <w:tcPr>
            <w:tcW w:type="dxa" w:w="3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CREATED → SENT → PAID (o EXPIRED/CANCELLED/FAILED)</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invoice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hacienda_status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PENDING → SENT → ACCEPTED / REJECTED</w:t>
            </w:r>
          </w:p>
        </w:tc>
      </w:tr>
    </w:tbl>
    <w:p>
      <w:pPr>
        <w:pStyle w:val="Heading1"/>
      </w:pPr>
      <w:r>
        <w:t xml:space="preserve">14. Manejo de errores e idempotencia</w:t>
      </w:r>
    </w:p>
    <w:p>
      <w:pPr>
        <w:pStyle w:val="ListParagraph"/>
        <w:numPr>
          <w:ilvl w:val="0"/>
          <w:numId w:val="3"/>
        </w:numPr>
        <w:spacing w:after="60"/>
      </w:pPr>
      <w:r>
        <w:t xml:space="preserve">Validaciones devuelven detalle por ítem (precio cambiado, sin stock) para que la web reaccione.</w:t>
      </w:r>
    </w:p>
    <w:p>
      <w:pPr>
        <w:pStyle w:val="ListParagraph"/>
        <w:numPr>
          <w:ilvl w:val="0"/>
          <w:numId w:val="3"/>
        </w:numPr>
        <w:spacing w:after="60"/>
      </w:pPr>
      <w:r>
        <w:t xml:space="preserve">Idempotency-Key en POST /orders; reenvío devuelve el mismo pedido, no uno nuevo.</w:t>
      </w:r>
    </w:p>
    <w:p>
      <w:pPr>
        <w:pStyle w:val="ListParagraph"/>
        <w:numPr>
          <w:ilvl w:val="0"/>
          <w:numId w:val="3"/>
        </w:numPr>
        <w:spacing w:after="60"/>
      </w:pPr>
      <w:r>
        <w:t xml:space="preserve">Webhooks con external_id único (tabla webhook_event); un evento repetido no se procesa dos veces.</w:t>
      </w:r>
    </w:p>
    <w:p>
      <w:pPr>
        <w:pStyle w:val="ListParagraph"/>
        <w:numPr>
          <w:ilvl w:val="0"/>
          <w:numId w:val="3"/>
        </w:numPr>
        <w:spacing w:after="60"/>
      </w:pPr>
      <w:r>
        <w:t xml:space="preserve">Tiempos de expiración del enlace de pago y reenvío controlado.</w:t>
      </w:r>
    </w:p>
    <w:p>
      <w:pPr>
        <w:pStyle w:val="Heading1"/>
      </w:pPr>
      <w:r>
        <w:t xml:space="preserve">15. Resumen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Método</w:t>
            </w:r>
          </w:p>
        </w:tc>
        <w:tc>
          <w:tcPr>
            <w:tcW w:type="dxa" w:w="48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Propósito</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/api/v1/catalog</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Catálogo publicable (incremental)</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/api/v1/products/{sku}</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Detalle, precio y disponibilidad</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/api/v1/cart/validate</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Validar precios y stock del carrito</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/api/v1/orders</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Crear pedido (idempotente)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/api/v1/orders/{id}</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Estado del pedido</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/api/v1/orders/{id}/payment-link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Generar y enviar enlace compraCLICK</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/api/v1/webhooks/bac</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Recibir confirmación de pago</w:t>
            </w:r>
          </w:p>
        </w:tc>
      </w:tr>
    </w:tbl>
    <w:p>
      <w:pPr>
        <w:pStyle w:val="Heading1"/>
      </w:pPr>
      <w:r>
        <w:t xml:space="preserve">16. Mapa al modelo de datos</w:t>
      </w:r>
    </w:p>
    <w:p>
      <w:pPr>
        <w:spacing w:after="120"/>
      </w:pPr>
      <w:r>
        <w:t xml:space="preserve">La integración reutiliza el esquema existente y agrega: api_client (autenticación de la web), payment_link (enlaces compraCLICK), webhook_event (eventos de pago), y los campos channel / external_ref / web_status en sales_order. La vista v_web_orders_pending alimenta la bandeja de pedidos web. El catálogo y precios provienen de product y price_list; el cliente, de partner; la factura, de invoice más el microservicio fiscal.</w:t>
      </w:r>
    </w:p>
    <w:p>
      <w:pPr>
        <w:pStyle w:val="Heading1"/>
      </w:pPr>
      <w:r>
        <w:t xml:space="preserve">17. Consideraciones de BAC compraCLICK</w:t>
      </w:r>
    </w:p>
    <w:p>
      <w:pPr>
        <w:pStyle w:val="ListParagraph"/>
        <w:numPr>
          <w:ilvl w:val="0"/>
          <w:numId w:val="3"/>
        </w:numPr>
        <w:spacing w:after="60"/>
      </w:pPr>
      <w:r>
        <w:t xml:space="preserve">Requiere afiliación de comercio con BAC, formulario y contrato; BAC entrega el manual de integración y realiza la certificación.</w:t>
      </w:r>
    </w:p>
    <w:p>
      <w:pPr>
        <w:pStyle w:val="ListParagraph"/>
        <w:numPr>
          <w:ilvl w:val="0"/>
          <w:numId w:val="3"/>
        </w:numPr>
        <w:spacing w:after="60"/>
      </w:pPr>
      <w:r>
        <w:t xml:space="preserve">El pago se procesa en la página segura de BAC con 3D Secure; acepta tarjetas locales e internacionales y cuotas.</w:t>
      </w:r>
    </w:p>
    <w:p>
      <w:pPr>
        <w:pStyle w:val="ListParagraph"/>
        <w:numPr>
          <w:ilvl w:val="0"/>
          <w:numId w:val="3"/>
        </w:numPr>
        <w:spacing w:after="60"/>
      </w:pPr>
      <w:r>
        <w:t xml:space="preserve">Costos referenciales en Costa Rica: implementación ~US$50 + IVA, mensualidad básica ~US$25 + IVA, comisión por transacción ~US$0,11 + IVA (verificar tarifas vigentes con BAC).</w:t>
      </w:r>
    </w:p>
    <w:p>
      <w:pPr>
        <w:pStyle w:val="ListParagraph"/>
        <w:numPr>
          <w:ilvl w:val="0"/>
          <w:numId w:val="3"/>
        </w:numPr>
        <w:spacing w:after="60"/>
      </w:pPr>
      <w:r>
        <w:t xml:space="preserve">La integración por API es responsabilidad del comercio; confirmar con BAC si ofrecen webhook de confirmación o si la conciliación es por reporte/notificación.</w:t>
      </w:r>
    </w:p>
    <w:p>
      <w:pPr>
        <w:spacing w:before="200"/>
      </w:pPr>
      <w:r>
        <w:rPr>
          <w:i/>
          <w:iCs/>
          <w:sz w:val="20"/>
          <w:szCs w:val="20"/>
        </w:rPr>
        <w:t xml:space="preserve">Descargo: detalles de compraCLICK basados en información pública de BAC a junio de 2026; las capacidades de API, webhooks y tarifas deben confirmarse con BAC al momento de la afiliación.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888888"/>
        <w:sz w:val="18"/>
        <w:szCs w:val="18"/>
      </w:rPr>
      <w:t xml:space="preserve">Integración Web ↔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Web-ERP</dc:title>
  <dc:creator>Cowork</dc:creator>
  <cp:lastModifiedBy>Un-named</cp:lastModifiedBy>
  <cp:revision>1</cp:revision>
  <dcterms:created xsi:type="dcterms:W3CDTF">2026-06-14T03:19:48.861Z</dcterms:created>
  <dcterms:modified xsi:type="dcterms:W3CDTF">2026-06-14T03:19:48.861Z</dcterms:modified>
</cp:coreProperties>
</file>

<file path=docProps/custom.xml><?xml version="1.0" encoding="utf-8"?>
<Properties xmlns="http://schemas.openxmlformats.org/officeDocument/2006/custom-properties" xmlns:vt="http://schemas.openxmlformats.org/officeDocument/2006/docPropsVTypes"/>
</file>