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PROYECTO ERP RETAIL</w:t>
      </w:r>
    </w:p>
    <w:p>
      <w:pPr>
        <w:spacing w:after="160"/>
        <w:jc w:val="center"/>
      </w:pPr>
      <w:r>
        <w:rPr>
          <w:b/>
          <w:bCs/>
          <w:color w:val="333333"/>
          <w:sz w:val="36"/>
          <w:szCs w:val="36"/>
        </w:rPr>
        <w:t xml:space="preserve">Documento maestro del proyecto</w:t>
      </w:r>
    </w:p>
    <w:p>
      <w:pPr>
        <w:spacing w:after="60"/>
        <w:jc w:val="center"/>
      </w:pPr>
      <w:r>
        <w:rPr>
          <w:color w:val="555555"/>
          <w:sz w:val="22"/>
          <w:szCs w:val="22"/>
        </w:rPr>
        <w:t xml:space="preserve">Sistema ERP · Costa Rica · multimoneda · seriales/garantías · taller · factura electrónica · canal web</w:t>
      </w:r>
    </w:p>
    <w:p>
      <w:pPr>
        <w:spacing w:before="1600"/>
        <w:jc w:val="center"/>
      </w:pPr>
      <w:r>
        <w:rPr>
          <w:i/>
          <w:iCs/>
          <w:sz w:val="22"/>
          <w:szCs w:val="22"/>
        </w:rPr>
        <w:t xml:space="preserve">Incluye: proyecto de desarrollo, microservicio fiscal e integración web</w:t>
      </w:r>
    </w:p>
    <w:p>
      <w:pPr>
        <w:spacing w:before="120"/>
        <w:jc w:val="center"/>
      </w:pPr>
      <w:r>
        <w:rPr>
          <w:sz w:val="22"/>
          <w:szCs w:val="22"/>
        </w:rPr>
        <w:t xml:space="preserve">Versión consolidada 1.0 · Junio 2026</w:t>
      </w:r>
    </w:p>
    <w:p>
      <w:r>
        <w:br w:type="page"/>
      </w:r>
    </w:p>
    <w:p>
      <w:pPr>
        <w:pStyle w:val="Heading1"/>
      </w:pPr>
      <w:r>
        <w:t xml:space="preserve">Contenido general</w:t>
      </w:r>
    </w:p>
    <w:sdt>
      <w:sdtPr>
        <w:alias w:val="TOC"/>
      </w:sdtPr>
      <w:sdtContent>
        <w:p>
          <w:r>
            <w:fldChar w:fldCharType="begin" w:dirty="true"/>
            <w:instrText xml:space="preserve">TOC \h \o "1-2"</w:instrText>
            <w:fldChar w:fldCharType="separate"/>
          </w:r>
        </w:p>
        <w:p>
          <w:r>
            <w:fldChar w:fldCharType="end"/>
          </w:r>
        </w:p>
      </w:sdtContent>
    </w:sdt>
    <w:p>
      <w:r>
        <w:br w:type="page"/>
      </w:r>
    </w:p>
    <w:p>
      <w:pPr>
        <w:spacing w:after="60" w:before="2400"/>
        <w:jc w:val="center"/>
      </w:pPr>
      <w:r>
        <w:rPr>
          <w:b/>
          <w:bCs/>
          <w:color w:val="8A8A8A"/>
          <w:sz w:val="28"/>
          <w:szCs w:val="28"/>
        </w:rPr>
        <w:t xml:space="preserve">PARTE I</w:t>
      </w:r>
    </w:p>
    <w:p>
      <w:pPr>
        <w:pStyle w:val="Heading1"/>
        <w:jc w:val="center"/>
      </w:pPr>
      <w:r>
        <w:t xml:space="preserve">Proyecto de desarrollo del ERP</w:t>
      </w:r>
    </w:p>
    <w:p>
      <w:pPr>
        <w:spacing w:after="200"/>
        <w:jc w:val="center"/>
      </w:pPr>
      <w:r>
        <w:rPr>
          <w:i/>
          <w:iCs/>
          <w:color w:val="555555"/>
          <w:sz w:val="22"/>
          <w:szCs w:val="22"/>
        </w:rPr>
        <w:t xml:space="preserve">Alcance, arquitectura, módulos, modelo de datos, roles, cronograma y riesgos</w:t>
      </w:r>
    </w:p>
    <w:p>
      <w:r>
        <w:br w:type="page"/>
      </w:r>
    </w:p>
    <w:p>
      <w:pPr>
        <w:pStyle w:val="Heading1"/>
      </w:pPr>
      <w:r>
        <w:t xml:space="preserve">1. Resumen ejecutivo</w:t>
      </w:r>
    </w:p>
    <w:p>
      <w:pPr>
        <w:spacing w:after="120"/>
      </w:pPr>
      <w:r>
        <w:t xml:space="preserve">Este documento define el alcance, la arquitectura y el plan de trabajo para desarrollar un sistema ERP propietario orientado al sector retail/comercio. El objetivo es reemplazar progresivamente el ERP comercial actualmente en uso por una plataforma a la medida, integrada y de propiedad total, que cubra las áreas críticas del negocio: inventario y compras, ventas y CRM, contabilidad y finanzas, y servicio técnico (taller), con soporte multimoneda y control de seriales/garantías de forma transversal.</w:t>
      </w:r>
    </w:p>
    <w:p>
      <w:pPr>
        <w:spacing w:after="120"/>
      </w:pPr>
      <w:r>
        <w:t xml:space="preserve">La solución se concibe como una aplicación web multiempresa y multisucursal, con una arquitectura modular que permite liberar valor por etapas. Cada módulo se construye sobre una base de datos relacional única (PostgreSQL), lo que garantiza integridad transaccional, trazabilidad contable y reportería confiable.</w:t>
      </w:r>
    </w:p>
    <w:p>
      <w:pPr>
        <w:spacing w:after="120"/>
      </w:pPr>
      <w:r>
        <w:t xml:space="preserve">El proyecto se estima en un horizonte de aproximadamente 13 a 17 meses para una primera versión productiva (MVP ampliado), organizado en siete fases incrementales. Incluye la homologación a la factura electrónica de Costa Rica (Hacienda v4.4 / TRIBU-CR). Acompaña a este documento el script completo del esquema de base de datos (archivo erp_schema.sql).</w:t>
      </w:r>
    </w:p>
    <w:p>
      <w:pPr>
        <w:pStyle w:val="Heading2"/>
      </w:pPr>
      <w:r>
        <w:t xml:space="preserve">1.1 Beneficios esperados</w:t>
      </w:r>
    </w:p>
    <w:p>
      <w:pPr>
        <w:pStyle w:val="ListParagraph"/>
        <w:numPr>
          <w:ilvl w:val="0"/>
          <w:numId w:val="2"/>
        </w:numPr>
        <w:spacing w:after="60"/>
      </w:pPr>
      <w:r>
        <w:t xml:space="preserve">Propiedad total del código y los datos, sin costos recurrentes de licenciamiento por usuario.</w:t>
      </w:r>
    </w:p>
    <w:p>
      <w:pPr>
        <w:pStyle w:val="ListParagraph"/>
        <w:numPr>
          <w:ilvl w:val="0"/>
          <w:numId w:val="2"/>
        </w:numPr>
        <w:spacing w:after="60"/>
      </w:pPr>
      <w:r>
        <w:t xml:space="preserve">Procesos adaptados exactamente a la operación del negocio, no al revés.</w:t>
      </w:r>
    </w:p>
    <w:p>
      <w:pPr>
        <w:pStyle w:val="ListParagraph"/>
        <w:numPr>
          <w:ilvl w:val="0"/>
          <w:numId w:val="2"/>
        </w:numPr>
        <w:spacing w:after="60"/>
      </w:pPr>
      <w:r>
        <w:t xml:space="preserve">Integración nativa entre inventario, ventas y contabilidad, eliminando la doble captura.</w:t>
      </w:r>
    </w:p>
    <w:p>
      <w:pPr>
        <w:pStyle w:val="ListParagraph"/>
        <w:numPr>
          <w:ilvl w:val="0"/>
          <w:numId w:val="2"/>
        </w:numPr>
        <w:spacing w:after="60"/>
      </w:pPr>
      <w:r>
        <w:t xml:space="preserve">Trazabilidad de extremo a extremo: del movimiento de stock al asiento contable.</w:t>
      </w:r>
    </w:p>
    <w:p>
      <w:pPr>
        <w:pStyle w:val="ListParagraph"/>
        <w:numPr>
          <w:ilvl w:val="0"/>
          <w:numId w:val="2"/>
        </w:numPr>
        <w:spacing w:after="60"/>
      </w:pPr>
      <w:r>
        <w:t xml:space="preserve">Base tecnológica moderna, escalable y mantenible a largo plazo.</w:t>
      </w:r>
    </w:p>
    <w:p>
      <w:pPr>
        <w:pStyle w:val="Heading1"/>
      </w:pPr>
      <w:r>
        <w:t xml:space="preserve">2. Objetivos y alcance</w:t>
      </w:r>
    </w:p>
    <w:p>
      <w:pPr>
        <w:pStyle w:val="Heading2"/>
      </w:pPr>
      <w:r>
        <w:t xml:space="preserve">2.1 Objetivo general</w:t>
      </w:r>
    </w:p>
    <w:p>
      <w:pPr>
        <w:spacing w:after="120"/>
      </w:pPr>
      <w:r>
        <w:t xml:space="preserve">Diseñar y construir un ERP web a la medida que centralice la gestión comercial, de inventario y financiera del negocio, sustituyendo el sistema comercial actual y eliminando las limitaciones de personalización e integración que este presenta.</w:t>
      </w:r>
    </w:p>
    <w:p>
      <w:pPr>
        <w:pStyle w:val="Heading2"/>
      </w:pPr>
      <w:r>
        <w:t xml:space="preserve">2.2 Objetivos específicos</w:t>
      </w:r>
    </w:p>
    <w:p>
      <w:pPr>
        <w:pStyle w:val="ListParagraph"/>
        <w:numPr>
          <w:ilvl w:val="0"/>
          <w:numId w:val="3"/>
        </w:numPr>
        <w:spacing w:after="60"/>
      </w:pPr>
      <w:r>
        <w:t xml:space="preserve">Gestionar el ciclo completo de compras: del pedido al proveedor a la recepción de mercancía y su impacto en inventario.</w:t>
      </w:r>
    </w:p>
    <w:p>
      <w:pPr>
        <w:pStyle w:val="ListParagraph"/>
        <w:numPr>
          <w:ilvl w:val="0"/>
          <w:numId w:val="3"/>
        </w:numPr>
        <w:spacing w:after="60"/>
      </w:pPr>
      <w:r>
        <w:t xml:space="preserve">Controlar existencias en tiempo real por producto, almacén y sucursal, con kardex y costo promedio.</w:t>
      </w:r>
    </w:p>
    <w:p>
      <w:pPr>
        <w:pStyle w:val="ListParagraph"/>
        <w:numPr>
          <w:ilvl w:val="0"/>
          <w:numId w:val="3"/>
        </w:numPr>
        <w:spacing w:after="60"/>
      </w:pPr>
      <w:r>
        <w:t xml:space="preserve">Soportar el ciclo de ventas y un CRM ligero: oportunidades, pedidos, facturación y cobranza.</w:t>
      </w:r>
    </w:p>
    <w:p>
      <w:pPr>
        <w:pStyle w:val="ListParagraph"/>
        <w:numPr>
          <w:ilvl w:val="0"/>
          <w:numId w:val="3"/>
        </w:numPr>
        <w:spacing w:after="60"/>
      </w:pPr>
      <w:r>
        <w:t xml:space="preserve">Llevar la contabilidad de partida doble con plan de cuentas, asientos automáticos y cuentas por cobrar/pagar.</w:t>
      </w:r>
    </w:p>
    <w:p>
      <w:pPr>
        <w:pStyle w:val="ListParagraph"/>
        <w:numPr>
          <w:ilvl w:val="0"/>
          <w:numId w:val="3"/>
        </w:numPr>
        <w:spacing w:after="60"/>
      </w:pPr>
      <w:r>
        <w:t xml:space="preserve">Proveer reportería operativa y financiera para la toma de decisiones.</w:t>
      </w:r>
    </w:p>
    <w:p>
      <w:pPr>
        <w:pStyle w:val="Heading2"/>
      </w:pPr>
      <w:r>
        <w:t xml:space="preserve">2.3 Alcance funcional (incluido)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Módulo</w:t>
            </w:r>
          </w:p>
        </w:tc>
        <w:tc>
          <w:tcPr>
            <w:tcW w:type="dxa" w:w="624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Funcionalidad cubierta</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Inventario y Compras</w:t>
            </w:r>
          </w:p>
        </w:tc>
        <w:tc>
          <w:tcPr>
            <w:tcW w:type="dxa" w:w="624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Catálogo de productos, categorías, almacenes, kardex/movimientos, costo promedio, control de seriales, órdenes de compra, recepciones, importación de compras desde XML del proveedor, alertas de stock mínimo.</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Cotizaciones</w:t>
            </w:r>
          </w:p>
        </w:tc>
        <w:tc>
          <w:tcPr>
            <w:tcW w:type="dxa" w:w="62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Elaboración y envío de cotizaciones, vigencia, y conversión a pedido de venta.</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CRM · Tickets</w:t>
            </w:r>
          </w:p>
        </w:tc>
        <w:tc>
          <w:tcPr>
            <w:tcW w:type="dxa" w:w="624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Tablero tipo Trello con tickets de oportunidad, soporte (SLA), proyectos (tareas) e inventario-tránsito.</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Ventas y CRM</w:t>
            </w:r>
          </w:p>
        </w:tc>
        <w:tc>
          <w:tcPr>
            <w:tcW w:type="dxa" w:w="62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Clientes y categorías (A–E), prospectos (leads), embudos, oportunidades, vendedores y comisiones, pedidos, facturación, devoluciones, pagos y cobros.</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Promociones y empaque</w:t>
            </w:r>
          </w:p>
        </w:tc>
        <w:tc>
          <w:tcPr>
            <w:tcW w:type="dxa" w:w="624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Ofertas/promociones (también para la web) y preparación/empaque de pedidos (previo de empaque).</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Contabilidad y Finanzas</w:t>
            </w:r>
          </w:p>
        </w:tc>
        <w:tc>
          <w:tcPr>
            <w:tcW w:type="dxa" w:w="62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Plan de cuentas, periodos fiscales, asientos (manuales y automáticos), CxC/CxP, balances y estados básicos.</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Multimoneda</w:t>
            </w:r>
          </w:p>
        </w:tc>
        <w:tc>
          <w:tcPr>
            <w:tcW w:type="dxa" w:w="624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Operación en varias monedas con tipo de cambio por documento, importes en moneda base y listas de precios por moneda.</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Seriales y Garantías</w:t>
            </w:r>
          </w:p>
        </w:tc>
        <w:tc>
          <w:tcPr>
            <w:tcW w:type="dxa" w:w="62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Identificación de unidades por número de serie, trazabilidad entrada→venta y gestión de reclamos de garantía.</w:t>
            </w:r>
          </w:p>
        </w:tc>
      </w:tr>
      <w:tr>
        <w:trPr>
          <w:tblHeader w:val="false"/>
        </w:trPr>
        <w:tc>
          <w:tcPr>
            <w:tcW w:type="dxa" w:w="312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Taller / Servicio Técnico</w:t>
            </w:r>
          </w:p>
        </w:tc>
        <w:tc>
          <w:tcPr>
            <w:tcW w:type="dxa" w:w="624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Órdenes de servicio, agenda de citas e ingreso de equipos, diagnóstico, repuestos, mano de obra, bitácora del proceso, notificaciones WhatsApp/email, semáforo de estado por tiempo (SLA) y facturación de reparaciones (garantía o cobro).</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Núcleo</w:t>
            </w:r>
          </w:p>
        </w:tc>
        <w:tc>
          <w:tcPr>
            <w:tcW w:type="dxa" w:w="62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Multiempresa/multisucursal, usuarios, roles y permisos, auditoría, catálogos (impuestos, monedas, unidades).</w:t>
            </w:r>
          </w:p>
        </w:tc>
      </w:tr>
    </w:tbl>
    <w:p>
      <w:pPr>
        <w:pStyle w:val="Heading2"/>
      </w:pPr>
      <w:r>
        <w:t xml:space="preserve">2.4 Fuera de alcance (fase inicial)</w:t>
      </w:r>
    </w:p>
    <w:p>
      <w:pPr>
        <w:spacing w:after="120"/>
      </w:pPr>
      <w:r>
        <w:t xml:space="preserve">Las siguientes capacidades se consideran fuera del alcance de la primera versión y podrán incorporarse en fases posteriores:</w:t>
      </w:r>
    </w:p>
    <w:p>
      <w:pPr>
        <w:pStyle w:val="ListParagraph"/>
        <w:numPr>
          <w:ilvl w:val="0"/>
          <w:numId w:val="2"/>
        </w:numPr>
        <w:spacing w:after="60"/>
      </w:pPr>
      <w:r>
        <w:t xml:space="preserve">Nómina y recursos humanos.</w:t>
      </w:r>
    </w:p>
    <w:p>
      <w:pPr>
        <w:pStyle w:val="ListParagraph"/>
        <w:numPr>
          <w:ilvl w:val="0"/>
          <w:numId w:val="2"/>
        </w:numPr>
        <w:spacing w:after="60"/>
      </w:pPr>
      <w:r>
        <w:t xml:space="preserve">Manufactura/producción (MRP).</w:t>
      </w:r>
    </w:p>
    <w:p>
      <w:pPr>
        <w:pStyle w:val="ListParagraph"/>
        <w:numPr>
          <w:ilvl w:val="0"/>
          <w:numId w:val="2"/>
        </w:numPr>
        <w:spacing w:after="60"/>
      </w:pPr>
      <w:r>
        <w:t xml:space="preserve">Punto de venta (POS) con hardware dedicado y operación offline.</w:t>
      </w:r>
    </w:p>
    <w:p>
      <w:pPr>
        <w:pStyle w:val="ListParagraph"/>
        <w:numPr>
          <w:ilvl w:val="0"/>
          <w:numId w:val="2"/>
        </w:numPr>
        <w:spacing w:after="60"/>
      </w:pPr>
      <w:r>
        <w:t xml:space="preserve">Integraciones fiscales de otros países (la factura electrónica de Costa Rica SÍ está incluida; ver sección 5.7).</w:t>
      </w:r>
    </w:p>
    <w:p>
      <w:pPr>
        <w:pStyle w:val="ListParagraph"/>
        <w:numPr>
          <w:ilvl w:val="0"/>
          <w:numId w:val="2"/>
        </w:numPr>
        <w:spacing w:after="60"/>
      </w:pPr>
      <w:r>
        <w:t xml:space="preserve">E-commerce y tienda en línea.</w:t>
      </w:r>
    </w:p>
    <w:p>
      <w:pPr>
        <w:pStyle w:val="Heading1"/>
      </w:pPr>
      <w:r>
        <w:t xml:space="preserve">3. Análisis del sistema actual</w:t>
      </w:r>
    </w:p>
    <w:p>
      <w:pPr>
        <w:spacing w:after="120"/>
      </w:pPr>
      <w:r>
        <w:t xml:space="preserve">El negocio opera hoy sobre un ERP base (SYMA) y dos desarrollos propios que ya están en uso y se conectan a esa base de datos. El ERP nuevo se construirá desde cero, pero tomando como insumo toda la funcionalidad ya probada en estos sistemas y mejorándola.</w:t>
      </w:r>
    </w:p>
    <w:p>
      <w:pPr>
        <w:pStyle w:val="Heading2"/>
      </w:pPr>
      <w:r>
        <w:t xml:space="preserve">3.1 Sistemas actuales en operación</w:t>
      </w:r>
    </w:p>
    <w:p>
      <w:pPr>
        <w:pStyle w:val="Heading3"/>
      </w:pPr>
      <w:r>
        <w:t xml:space="preserve">Reportes-Syma (aplicación interna de gestión y reportería)</w:t>
      </w:r>
    </w:p>
    <w:p>
      <w:pPr>
        <w:spacing w:after="120"/>
      </w:pPr>
      <w:r>
        <w:t xml:space="preserve">Aplicación web (frontend en JavaScript y backend con API REST sobre /api) conectada a la base del ERP. Ya implementa, con datos reales, buena parte de lo que contempla este proyecto:</w:t>
      </w:r>
    </w:p>
    <w:p>
      <w:pPr>
        <w:pStyle w:val="ListParagraph"/>
        <w:numPr>
          <w:ilvl w:val="0"/>
          <w:numId w:val="2"/>
        </w:numPr>
        <w:spacing w:after="60"/>
      </w:pPr>
      <w:r>
        <w:t xml:space="preserve">Módulos: Dashboard, Ventas, Compras, Inventario, Taller, Caja/Banco, CRM y Admin.</w:t>
      </w:r>
    </w:p>
    <w:p>
      <w:pPr>
        <w:pStyle w:val="ListParagraph"/>
        <w:numPr>
          <w:ilvl w:val="0"/>
          <w:numId w:val="2"/>
        </w:numPr>
        <w:spacing w:after="60"/>
      </w:pPr>
      <w:r>
        <w:t xml:space="preserve">CRM con tickets de cuatro tipos (Oportunidades, Proyectos, Soporte, Inventario/Tránsito), tablero Kanban, lista, calendario, tareas y archivados, con etapas (Cotizar, Cotizado, Ganado, Perdido), comentarios, adjuntos y asignación.</w:t>
      </w:r>
    </w:p>
    <w:p>
      <w:pPr>
        <w:pStyle w:val="ListParagraph"/>
        <w:numPr>
          <w:ilvl w:val="0"/>
          <w:numId w:val="2"/>
        </w:numPr>
        <w:spacing w:after="60"/>
      </w:pPr>
      <w:r>
        <w:t xml:space="preserve">Taller con ingreso de equipo (marca, modelo, serie, accesorios, falla), agenda con técnico y horas, garantías, orden de compra, comisión y estados (pendiente, en proceso, finalizado, facturado, no reparable).</w:t>
      </w:r>
    </w:p>
    <w:p>
      <w:pPr>
        <w:pStyle w:val="ListParagraph"/>
        <w:numPr>
          <w:ilvl w:val="0"/>
          <w:numId w:val="2"/>
        </w:numPr>
        <w:spacing w:after="60"/>
      </w:pPr>
      <w:r>
        <w:t xml:space="preserve">Ventas (pagos, productos vendidos, CxC, devoluciones, facturas en proceso) con vendedores y categorías de cliente; Caja/Banco con cierre de caja; Compras con OC y ajustes por proveedor; Inventario con seriales.</w:t>
      </w:r>
    </w:p>
    <w:p>
      <w:pPr>
        <w:pStyle w:val="Heading3"/>
      </w:pPr>
      <w:r>
        <w:t xml:space="preserve">Mundotec-web (tienda en línea)</w:t>
      </w:r>
    </w:p>
    <w:p>
      <w:pPr>
        <w:spacing w:after="120"/>
      </w:pPr>
      <w:r>
        <w:t xml:space="preserve">Sitio público con catálogo por categorías, ofertas, proyectos, carrito, login y un panel de administración web protegido. Es el storefront que debe alimentarse del catálogo e inventario del ERP.</w:t>
      </w:r>
    </w:p>
    <w:p>
      <w:pPr>
        <w:pStyle w:val="Heading2"/>
      </w:pPr>
      <w:r>
        <w:t xml:space="preserve">3.2 Estrategia: construir desde cero mejorando lo existente</w:t>
      </w:r>
    </w:p>
    <w:p>
      <w:pPr>
        <w:spacing w:after="120"/>
      </w:pPr>
      <w:r>
        <w:t xml:space="preserve">Se confirma construir el ERP nuevo desde cero (no evolucionar los sistemas actuales), pero incorporando todas sus características probadas y mejorándolas. De ese análisis se sumaron al diseño: vendedores y comisiones, categorías de cliente (A–E), devoluciones de venta, promociones/ofertas (también para la web) y preparación/empaque de pedidos, además de reforzar cotizaciones, POS, compras, inventario y cierre de caja.</w:t>
      </w:r>
    </w:p>
    <w:p>
      <w:pPr>
        <w:spacing w:after="120"/>
      </w:pPr>
      <w:r>
        <w:t xml:space="preserve">La base del sistema actual (SYMA) servirá además como fuente para la migración de datos maestros e históricos. Esta sección define el método de levantamiento y migración.</w:t>
      </w:r>
    </w:p>
    <w:p>
      <w:pPr>
        <w:pStyle w:val="Heading2"/>
      </w:pPr>
      <w:r>
        <w:t xml:space="preserve">3.3 Método de levantamiento</w:t>
      </w:r>
    </w:p>
    <w:p>
      <w:pPr>
        <w:pStyle w:val="ListParagraph"/>
        <w:numPr>
          <w:ilvl w:val="0"/>
          <w:numId w:val="3"/>
        </w:numPr>
        <w:spacing w:after="60"/>
      </w:pPr>
      <w:r>
        <w:t xml:space="preserve">Inventario de módulos y funciones en uso real (vs. funciones contratadas pero no utilizadas).</w:t>
      </w:r>
    </w:p>
    <w:p>
      <w:pPr>
        <w:pStyle w:val="ListParagraph"/>
        <w:numPr>
          <w:ilvl w:val="0"/>
          <w:numId w:val="3"/>
        </w:numPr>
        <w:spacing w:after="60"/>
      </w:pPr>
      <w:r>
        <w:t xml:space="preserve">Mapa de procesos clave: compra, recepción, venta, facturación, cobro, cierre contable.</w:t>
      </w:r>
    </w:p>
    <w:p>
      <w:pPr>
        <w:pStyle w:val="ListParagraph"/>
        <w:numPr>
          <w:ilvl w:val="0"/>
          <w:numId w:val="3"/>
        </w:numPr>
        <w:spacing w:after="60"/>
      </w:pPr>
      <w:r>
        <w:t xml:space="preserve">Catálogo de reportes que el negocio consume hoy y considera imprescindibles.</w:t>
      </w:r>
    </w:p>
    <w:p>
      <w:pPr>
        <w:pStyle w:val="ListParagraph"/>
        <w:numPr>
          <w:ilvl w:val="0"/>
          <w:numId w:val="3"/>
        </w:numPr>
        <w:spacing w:after="60"/>
      </w:pPr>
      <w:r>
        <w:t xml:space="preserve">Análisis de datos a migrar: productos, clientes, proveedores, saldos, históricos.</w:t>
      </w:r>
    </w:p>
    <w:p>
      <w:pPr>
        <w:pStyle w:val="ListParagraph"/>
        <w:numPr>
          <w:ilvl w:val="0"/>
          <w:numId w:val="3"/>
        </w:numPr>
        <w:spacing w:after="60"/>
      </w:pPr>
      <w:r>
        <w:t xml:space="preserve">Identificación de integraciones externas (bancos, facturación electrónica, e-commerce).</w:t>
      </w:r>
    </w:p>
    <w:p>
      <w:pPr>
        <w:pStyle w:val="ListParagraph"/>
        <w:numPr>
          <w:ilvl w:val="0"/>
          <w:numId w:val="3"/>
        </w:numPr>
        <w:spacing w:after="60"/>
      </w:pPr>
      <w:r>
        <w:t xml:space="preserve">Listado de dolores y limitaciones del sistema actual a resolver.</w:t>
      </w:r>
    </w:p>
    <w:p>
      <w:pPr>
        <w:pStyle w:val="Heading2"/>
      </w:pPr>
      <w:r>
        <w:t xml:space="preserve">3.4 Estrategia de migración de datos</w:t>
      </w:r>
    </w:p>
    <w:p>
      <w:pPr>
        <w:spacing w:after="120"/>
      </w:pPr>
      <w:r>
        <w:t xml:space="preserve">Se recomienda una migración por etapas, alineada con la liberación de cada módulo. Los datos maestros (productos, clientes, proveedores, plan de cuentas) se migran primero; los saldos iniciales (inventario, CxC, CxP, balances contables) se cargan como apertura en la fecha de corte. Se mantendrá el sistema antiguo en modo consulta durante un periodo de convivencia.</w:t>
      </w:r>
    </w:p>
    <w:p>
      <w:pPr>
        <w:pStyle w:val="Heading1"/>
      </w:pPr>
      <w:r>
        <w:t xml:space="preserve">4. Arquitectura técnica</w:t>
      </w:r>
    </w:p>
    <w:p>
      <w:pPr>
        <w:pStyle w:val="Heading2"/>
      </w:pPr>
      <w:r>
        <w:t xml:space="preserve">4.1 Visión general</w:t>
      </w:r>
    </w:p>
    <w:p>
      <w:pPr>
        <w:spacing w:after="120"/>
      </w:pPr>
      <w:r>
        <w:t xml:space="preserve">La arquitectura propuesta es una aplicación web de tres capas con API REST, desacoplando el frontend del backend y centralizando la lógica de negocio en el servidor. Esto facilita el mantenimiento, las pruebas y una eventual app móvil que consuma la misma API.</w:t>
      </w:r>
    </w:p>
    <w:p>
      <w:pPr>
        <w:spacing w:after="120"/>
      </w:pPr>
      <w:r>
        <w:t xml:space="preserve">Flujo lógico: Navegador (SPA) ⇄ API REST (backend) ⇄ Base de datos PostgreSQL, con servicios transversales de autenticación, auditoría y reportería.</w:t>
      </w:r>
    </w:p>
    <w:p>
      <w:pPr>
        <w:pStyle w:val="Heading2"/>
      </w:pPr>
      <w:r>
        <w:t xml:space="preserve">4.1.1 Modelo de despliegue: plataforma unificada (Modelo A)</w:t>
      </w:r>
    </w:p>
    <w:p>
      <w:pPr>
        <w:spacing w:after="120"/>
      </w:pPr>
      <w:r>
        <w:t xml:space="preserve">Decisión de arquitectura adoptada: una plataforma unificada. Un único backend (monolito modular) con una sola base de datos como fuente de verdad, que sirve a varios frontends: la tienda web (público), el ERP web (interno) y el POS/móvil. Los módulos del ERP comparten los mismos datos sin sincronizaciones; la tienda es un módulo/servicio más sobre esa misma fuente de datos, no un sistema con base propia.</w:t>
      </w:r>
    </w:p>
    <w:p>
      <w:pPr>
        <w:spacing w:after="120"/>
      </w:pPr>
      <w:r>
        <w:t xml:space="preserve">El backend y la base de datos viven en una red privada, sin acceso desde internet. La tienda pública accede únicamente a través de una capa pública delgada (BFF) de alcance reducido (catálogo, precios, pedidos), con autenticación, límite de tasa, caché y WAF. La base de datos nunca se expone; solo el backend la consulta, y el camino público usa un usuario de base de datos con permisos mínimos.</w:t>
      </w:r>
    </w:p>
    <w:p>
      <w:pPr>
        <w:pStyle w:val="Heading3"/>
      </w:pPr>
      <w:r>
        <w:t xml:space="preserve">Por qué este modelo</w:t>
      </w:r>
    </w:p>
    <w:p>
      <w:pPr>
        <w:pStyle w:val="ListParagraph"/>
        <w:numPr>
          <w:ilvl w:val="0"/>
          <w:numId w:val="2"/>
        </w:numPr>
        <w:spacing w:after="60"/>
      </w:pPr>
      <w:r>
        <w:t xml:space="preserve">Fuente única de precios, inventario y clientes: sin sincronización ni sobreventa.</w:t>
      </w:r>
    </w:p>
    <w:p>
      <w:pPr>
        <w:pStyle w:val="ListParagraph"/>
        <w:numPr>
          <w:ilvl w:val="0"/>
          <w:numId w:val="2"/>
        </w:numPr>
        <w:spacing w:after="60"/>
      </w:pPr>
      <w:r>
        <w:t xml:space="preserve">Menos código duplicado y menos integración que mantener.</w:t>
      </w:r>
    </w:p>
    <w:p>
      <w:pPr>
        <w:pStyle w:val="ListParagraph"/>
        <w:numPr>
          <w:ilvl w:val="0"/>
          <w:numId w:val="2"/>
        </w:numPr>
        <w:spacing w:after="60"/>
      </w:pPr>
      <w:r>
        <w:t xml:space="preserve">Los cambios se reflejan al instante en todos los canales.</w:t>
      </w:r>
    </w:p>
    <w:p>
      <w:pPr>
        <w:pStyle w:val="ListParagraph"/>
        <w:numPr>
          <w:ilvl w:val="0"/>
          <w:numId w:val="2"/>
        </w:numPr>
        <w:spacing w:after="60"/>
      </w:pPr>
      <w:r>
        <w:t xml:space="preserve">Diseño modular: la tienda tiene frontera propia y puede escalarse o, si en el futuro se requiere, extraerse como servicio independiente sin reescribir el ERP.</w:t>
      </w:r>
    </w:p>
    <w:p>
      <w:pPr>
        <w:pStyle w:val="Heading3"/>
      </w:pPr>
      <w:r>
        <w:t xml:space="preserve">Mitigación de sus desventajas</w:t>
      </w:r>
    </w:p>
    <w:p>
      <w:pPr>
        <w:pStyle w:val="ListParagraph"/>
        <w:numPr>
          <w:ilvl w:val="0"/>
          <w:numId w:val="2"/>
        </w:numPr>
        <w:spacing w:after="60"/>
      </w:pPr>
      <w:r>
        <w:t xml:space="preserve">Escalado: caché y réplicas de lectura para el catálogo; la capa pública escala aparte del ERP.</w:t>
      </w:r>
    </w:p>
    <w:p>
      <w:pPr>
        <w:pStyle w:val="ListParagraph"/>
        <w:numPr>
          <w:ilvl w:val="0"/>
          <w:numId w:val="2"/>
        </w:numPr>
        <w:spacing w:after="60"/>
      </w:pPr>
      <w:r>
        <w:t xml:space="preserve">Seguridad: base en red privada, BFF de alcance reducido, WAF y permisos mínimos para el camino público.</w:t>
      </w:r>
    </w:p>
    <w:p>
      <w:pPr>
        <w:pStyle w:val="ListParagraph"/>
        <w:numPr>
          <w:ilvl w:val="0"/>
          <w:numId w:val="2"/>
        </w:numPr>
        <w:spacing w:after="60"/>
      </w:pPr>
      <w:r>
        <w:t xml:space="preserve">Despliegues: backend modular para liberar por módulo sin acoplar todo.</w:t>
      </w:r>
    </w:p>
    <w:p>
      <w:pPr>
        <w:pStyle w:val="Heading2"/>
      </w:pPr>
      <w:r>
        <w:t xml:space="preserve">4.2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Capa</w:t>
            </w:r>
          </w:p>
        </w:tc>
        <w:tc>
          <w:tcPr>
            <w:tcW w:type="dxa" w:w="33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Tecnología sugerida</w:t>
            </w:r>
          </w:p>
        </w:tc>
        <w:tc>
          <w:tcPr>
            <w:tcW w:type="dxa" w:w="36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Justificación</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Base de datos</w:t>
            </w:r>
          </w:p>
        </w:tc>
        <w:tc>
          <w:tcPr>
            <w:tcW w:type="dxa" w:w="33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PostgreSQL 15+</w:t>
            </w:r>
          </w:p>
        </w:tc>
        <w:tc>
          <w:tcPr>
            <w:tcW w:type="dxa" w:w="3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Robusta, transaccional, soporta JSONB y restricciones complejas; ideal para contabilidad.</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Backend / API</w:t>
            </w:r>
          </w:p>
        </w:tc>
        <w:tc>
          <w:tcPr>
            <w:tcW w:type="dxa" w:w="3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Node.js (NestJS) o Python (Django/DRF)</w:t>
            </w:r>
          </w:p>
        </w:tc>
        <w:tc>
          <w:tcPr>
            <w:tcW w:type="dxa" w:w="3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Frameworks maduros, ORM sólido, buena estructura para módulos.</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Frontend</w:t>
            </w:r>
          </w:p>
        </w:tc>
        <w:tc>
          <w:tcPr>
            <w:tcW w:type="dxa" w:w="33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React + TypeScript</w:t>
            </w:r>
          </w:p>
        </w:tc>
        <w:tc>
          <w:tcPr>
            <w:tcW w:type="dxa" w:w="3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Ecosistema amplio, componentes reutilizables, tipado seguro.</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Autenticación</w:t>
            </w:r>
          </w:p>
        </w:tc>
        <w:tc>
          <w:tcPr>
            <w:tcW w:type="dxa" w:w="3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JWT + refresh tokens</w:t>
            </w:r>
          </w:p>
        </w:tc>
        <w:tc>
          <w:tcPr>
            <w:tcW w:type="dxa" w:w="3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Estándar para APIs; soporta roles y permisos granulares.</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Reportería</w:t>
            </w:r>
          </w:p>
        </w:tc>
        <w:tc>
          <w:tcPr>
            <w:tcW w:type="dxa" w:w="33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Generación PDF/Excel server-side</w:t>
            </w:r>
          </w:p>
        </w:tc>
        <w:tc>
          <w:tcPr>
            <w:tcW w:type="dxa" w:w="3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Reportes consistentes; exportación nativa.</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Infraestructura</w:t>
            </w:r>
          </w:p>
        </w:tc>
        <w:tc>
          <w:tcPr>
            <w:tcW w:type="dxa" w:w="3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Docker + servidor Linux / nube</w:t>
            </w:r>
          </w:p>
        </w:tc>
        <w:tc>
          <w:tcPr>
            <w:tcW w:type="dxa" w:w="3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Despliegue reproducible y escalable.</w:t>
            </w:r>
          </w:p>
        </w:tc>
      </w:tr>
    </w:tbl>
    <w:p>
      <w:pPr>
        <w:spacing w:after="120" w:before="80"/>
      </w:pPr>
      <w:r>
        <w:rPr>
          <w:i/>
          <w:iCs/>
          <w:sz w:val="20"/>
          <w:szCs w:val="20"/>
        </w:rPr>
        <w:t xml:space="preserve">Nota: el stack es una recomendación. Si el equipo domina otro ecosistema (p. ej. .NET, Laravel), el diseño de datos y los módulos son igualmente aplicables.</w:t>
      </w:r>
    </w:p>
    <w:p>
      <w:pPr>
        <w:pStyle w:val="Heading2"/>
      </w:pPr>
      <w:r>
        <w:t xml:space="preserve">4.3 Principios de diseño</w:t>
      </w:r>
    </w:p>
    <w:p>
      <w:pPr>
        <w:pStyle w:val="ListParagraph"/>
        <w:numPr>
          <w:ilvl w:val="0"/>
          <w:numId w:val="2"/>
        </w:numPr>
        <w:spacing w:after="60"/>
      </w:pPr>
      <w:r>
        <w:t xml:space="preserve">Multiempresa y multisucursal desde el inicio (toda entidad referencia su empresa).</w:t>
      </w:r>
    </w:p>
    <w:p>
      <w:pPr>
        <w:pStyle w:val="ListParagraph"/>
        <w:numPr>
          <w:ilvl w:val="0"/>
          <w:numId w:val="2"/>
        </w:numPr>
        <w:spacing w:after="60"/>
      </w:pPr>
      <w:r>
        <w:t xml:space="preserve">Soft-delete y auditoría: nada se borra físicamente; todo cambio queda registrado.</w:t>
      </w:r>
    </w:p>
    <w:p>
      <w:pPr>
        <w:pStyle w:val="ListParagraph"/>
        <w:numPr>
          <w:ilvl w:val="0"/>
          <w:numId w:val="2"/>
        </w:numPr>
        <w:spacing w:after="60"/>
      </w:pPr>
      <w:r>
        <w:t xml:space="preserve">La fuente de verdad del inventario es el kardex (stock_movement); las existencias son un snapshot derivado.</w:t>
      </w:r>
    </w:p>
    <w:p>
      <w:pPr>
        <w:pStyle w:val="ListParagraph"/>
        <w:numPr>
          <w:ilvl w:val="0"/>
          <w:numId w:val="2"/>
        </w:numPr>
        <w:spacing w:after="60"/>
      </w:pPr>
      <w:r>
        <w:t xml:space="preserve">La contabilidad es de partida doble; los asientos automáticos se generan desde documentos de origen.</w:t>
      </w:r>
    </w:p>
    <w:p>
      <w:pPr>
        <w:pStyle w:val="ListParagraph"/>
        <w:numPr>
          <w:ilvl w:val="0"/>
          <w:numId w:val="2"/>
        </w:numPr>
        <w:spacing w:after="60"/>
      </w:pPr>
      <w:r>
        <w:t xml:space="preserve">Permisos granulares por acción (p. ej. sales.invoice.create) agrupados en roles.</w:t>
      </w:r>
    </w:p>
    <w:p>
      <w:pPr>
        <w:pStyle w:val="Heading1"/>
      </w:pPr>
      <w:r>
        <w:t xml:space="preserve">5. Módulos funcionales</w:t>
      </w:r>
    </w:p>
    <w:p>
      <w:pPr>
        <w:pStyle w:val="Heading2"/>
      </w:pPr>
      <w:r>
        <w:t xml:space="preserve">5.1 Inventario y Compras</w:t>
      </w:r>
    </w:p>
    <w:p>
      <w:pPr>
        <w:spacing w:after="120"/>
      </w:pPr>
      <w:r>
        <w:t xml:space="preserve">Gestiona el catálogo de productos, las existencias y el ciclo de aprovisionamiento.</w:t>
      </w:r>
    </w:p>
    <w:p>
      <w:pPr>
        <w:pStyle w:val="Heading3"/>
      </w:pPr>
      <w:r>
        <w:t xml:space="preserve">Funcionalidades</w:t>
      </w:r>
    </w:p>
    <w:p>
      <w:pPr>
        <w:pStyle w:val="ListParagraph"/>
        <w:numPr>
          <w:ilvl w:val="0"/>
          <w:numId w:val="2"/>
        </w:numPr>
        <w:spacing w:after="60"/>
      </w:pPr>
      <w:r>
        <w:t xml:space="preserve">Catálogo de productos con SKU, código de barras, categorías jerárquicas, unidad de medida e impuesto.</w:t>
      </w:r>
    </w:p>
    <w:p>
      <w:pPr>
        <w:pStyle w:val="ListParagraph"/>
        <w:numPr>
          <w:ilvl w:val="0"/>
          <w:numId w:val="2"/>
        </w:numPr>
        <w:spacing w:after="60"/>
      </w:pPr>
      <w:r>
        <w:t xml:space="preserve">Publicación web: un campo en el producto define si es visible en la tienda; además permite destacarlo, asignarle título/descripción y URL para la web, lista de precios del canal y galería de imágenes.</w:t>
      </w:r>
    </w:p>
    <w:p>
      <w:pPr>
        <w:pStyle w:val="ListParagraph"/>
        <w:numPr>
          <w:ilvl w:val="0"/>
          <w:numId w:val="2"/>
        </w:numPr>
        <w:spacing w:after="60"/>
      </w:pPr>
      <w:r>
        <w:t xml:space="preserve">Múltiples almacenes asociados a sucursales.</w:t>
      </w:r>
    </w:p>
    <w:p>
      <w:pPr>
        <w:pStyle w:val="ListParagraph"/>
        <w:numPr>
          <w:ilvl w:val="0"/>
          <w:numId w:val="2"/>
        </w:numPr>
        <w:spacing w:after="60"/>
      </w:pPr>
      <w:r>
        <w:t xml:space="preserve">Kardex de movimientos (entradas, salidas, ajustes, traspasos) con costo y saldo.</w:t>
      </w:r>
    </w:p>
    <w:p>
      <w:pPr>
        <w:pStyle w:val="ListParagraph"/>
        <w:numPr>
          <w:ilvl w:val="0"/>
          <w:numId w:val="2"/>
        </w:numPr>
        <w:spacing w:after="60"/>
      </w:pPr>
      <w:r>
        <w:t xml:space="preserve">Cálculo de costo promedio ponderado y alertas de stock mínimo/máximo.</w:t>
      </w:r>
    </w:p>
    <w:p>
      <w:pPr>
        <w:pStyle w:val="ListParagraph"/>
        <w:numPr>
          <w:ilvl w:val="0"/>
          <w:numId w:val="2"/>
        </w:numPr>
        <w:spacing w:after="60"/>
      </w:pPr>
      <w:r>
        <w:t xml:space="preserve">Órdenes de compra con flujo Borrador → Aprobada → Recibida, y recepciones de mercancía.</w:t>
      </w:r>
    </w:p>
    <w:p>
      <w:pPr>
        <w:pStyle w:val="Heading3"/>
      </w:pPr>
      <w:r>
        <w:t xml:space="preserve">Reglas clave</w:t>
      </w:r>
    </w:p>
    <w:p>
      <w:pPr>
        <w:pStyle w:val="ListParagraph"/>
        <w:numPr>
          <w:ilvl w:val="0"/>
          <w:numId w:val="2"/>
        </w:numPr>
        <w:spacing w:after="60"/>
      </w:pPr>
      <w:r>
        <w:t xml:space="preserve">Toda recepción genera movimientos de entrada y actualiza el costo promedio.</w:t>
      </w:r>
    </w:p>
    <w:p>
      <w:pPr>
        <w:pStyle w:val="ListParagraph"/>
        <w:numPr>
          <w:ilvl w:val="0"/>
          <w:numId w:val="2"/>
        </w:numPr>
        <w:spacing w:after="60"/>
      </w:pPr>
      <w:r>
        <w:t xml:space="preserve">No se permite stock negativo salvo configuración explícita por almacén.</w:t>
      </w:r>
    </w:p>
    <w:p>
      <w:pPr>
        <w:pStyle w:val="Heading3"/>
      </w:pPr>
      <w:r>
        <w:t xml:space="preserve">Compras: importación XML, ajuste de precios y seriales</w:t>
      </w:r>
    </w:p>
    <w:p>
      <w:pPr>
        <w:pStyle w:val="ListParagraph"/>
        <w:numPr>
          <w:ilvl w:val="0"/>
          <w:numId w:val="2"/>
        </w:numPr>
        <w:spacing w:after="60"/>
      </w:pPr>
      <w:r>
        <w:t xml:space="preserve">Carga del XML de la factura del proveedor y mapeo de ítems a productos (ver 5.9).</w:t>
      </w:r>
    </w:p>
    <w:p>
      <w:pPr>
        <w:pStyle w:val="ListParagraph"/>
        <w:numPr>
          <w:ilvl w:val="0"/>
          <w:numId w:val="2"/>
        </w:numPr>
        <w:spacing w:after="60"/>
      </w:pPr>
      <w:r>
        <w:t xml:space="preserve">Ajuste de precios al recibir: actualiza el costo y sugiere un nuevo precio de venta, con historial de cambios de precio por producto.</w:t>
      </w:r>
    </w:p>
    <w:p>
      <w:pPr>
        <w:pStyle w:val="ListParagraph"/>
        <w:numPr>
          <w:ilvl w:val="0"/>
          <w:numId w:val="2"/>
        </w:numPr>
        <w:spacing w:after="60"/>
      </w:pPr>
      <w:r>
        <w:t xml:space="preserve">Ingreso de seriales en la recepción para productos serializados, alimentando la trazabilidad y la garantía.</w:t>
      </w:r>
    </w:p>
    <w:p>
      <w:pPr>
        <w:pStyle w:val="Heading3"/>
      </w:pPr>
      <w:r>
        <w:t xml:space="preserve">Inventario: máximos/mínimos y ajustes</w:t>
      </w:r>
    </w:p>
    <w:p>
      <w:pPr>
        <w:pStyle w:val="ListParagraph"/>
        <w:numPr>
          <w:ilvl w:val="0"/>
          <w:numId w:val="2"/>
        </w:numPr>
        <w:spacing w:after="60"/>
      </w:pPr>
      <w:r>
        <w:t xml:space="preserve">Cada producto define stock mínimo y máximo; el sistema alerta cuando está bajo el mínimo o sobre el máximo.</w:t>
      </w:r>
    </w:p>
    <w:p>
      <w:pPr>
        <w:pStyle w:val="ListParagraph"/>
        <w:numPr>
          <w:ilvl w:val="0"/>
          <w:numId w:val="2"/>
        </w:numPr>
        <w:spacing w:after="60"/>
      </w:pPr>
      <w:r>
        <w:t xml:space="preserve">Módulo de ajuste de existencias (conteo físico, mermas, daños) con documento de ajuste, diferencia contra el sistema y confirmación.</w:t>
      </w:r>
    </w:p>
    <w:p>
      <w:pPr>
        <w:pStyle w:val="ListParagraph"/>
        <w:numPr>
          <w:ilvl w:val="0"/>
          <w:numId w:val="2"/>
        </w:numPr>
        <w:spacing w:after="60"/>
      </w:pPr>
      <w:r>
        <w:t xml:space="preserve">Filtros para armar el ajuste rápido: por departamento, por proveedor y por productos vendidos, para no recorrer todo el catálogo.</w:t>
      </w:r>
    </w:p>
    <w:p>
      <w:pPr>
        <w:pStyle w:val="ListParagraph"/>
        <w:numPr>
          <w:ilvl w:val="0"/>
          <w:numId w:val="2"/>
        </w:numPr>
        <w:spacing w:after="60"/>
      </w:pPr>
      <w:r>
        <w:t xml:space="preserve">Clasificación por departamento y proveedor por defecto en el producto, que potencian estos filtros y la reposición.</w:t>
      </w:r>
    </w:p>
    <w:p>
      <w:pPr>
        <w:pStyle w:val="Heading2"/>
      </w:pPr>
      <w:r>
        <w:t xml:space="preserve">5.2 Ventas y CRM</w:t>
      </w:r>
    </w:p>
    <w:p>
      <w:pPr>
        <w:spacing w:after="120"/>
      </w:pPr>
      <w:r>
        <w:t xml:space="preserve">Cubre la relación con el cliente desde la oportunidad hasta el cobro.</w:t>
      </w:r>
    </w:p>
    <w:p>
      <w:pPr>
        <w:pStyle w:val="Heading3"/>
      </w:pPr>
      <w:r>
        <w:t xml:space="preserve">Funcionalidades</w:t>
      </w:r>
    </w:p>
    <w:p>
      <w:pPr>
        <w:pStyle w:val="ListParagraph"/>
        <w:numPr>
          <w:ilvl w:val="0"/>
          <w:numId w:val="2"/>
        </w:numPr>
        <w:spacing w:after="60"/>
      </w:pPr>
      <w:r>
        <w:t xml:space="preserve">Clientes y contactos, con límite de crédito y días de crédito.</w:t>
      </w:r>
    </w:p>
    <w:p>
      <w:pPr>
        <w:pStyle w:val="ListParagraph"/>
        <w:numPr>
          <w:ilvl w:val="0"/>
          <w:numId w:val="2"/>
        </w:numPr>
        <w:spacing w:after="60"/>
      </w:pPr>
      <w:r>
        <w:t xml:space="preserve">Prospectos (leads) con origen y estado, que se convierten en cliente y/o oportunidad.</w:t>
      </w:r>
    </w:p>
    <w:p>
      <w:pPr>
        <w:pStyle w:val="ListParagraph"/>
        <w:numPr>
          <w:ilvl w:val="0"/>
          <w:numId w:val="2"/>
        </w:numPr>
        <w:spacing w:after="60"/>
      </w:pPr>
      <w:r>
        <w:t xml:space="preserve">Categoría/clase de cliente (A–E) para segmentar precios, crédito y reportes.</w:t>
      </w:r>
    </w:p>
    <w:p>
      <w:pPr>
        <w:pStyle w:val="ListParagraph"/>
        <w:numPr>
          <w:ilvl w:val="0"/>
          <w:numId w:val="2"/>
        </w:numPr>
        <w:spacing w:after="60"/>
      </w:pPr>
      <w:r>
        <w:t xml:space="preserve">Vendedor asignado por cotización, pedido y factura, con cálculo de comisiones por periodo (también para técnicos del taller).</w:t>
      </w:r>
    </w:p>
    <w:p>
      <w:pPr>
        <w:pStyle w:val="ListParagraph"/>
        <w:numPr>
          <w:ilvl w:val="0"/>
          <w:numId w:val="2"/>
        </w:numPr>
        <w:spacing w:after="60"/>
      </w:pPr>
      <w:r>
        <w:t xml:space="preserve">Devoluciones de venta que generan nota de crédito y reingreso de inventario.</w:t>
      </w:r>
    </w:p>
    <w:p>
      <w:pPr>
        <w:pStyle w:val="ListParagraph"/>
        <w:numPr>
          <w:ilvl w:val="0"/>
          <w:numId w:val="2"/>
        </w:numPr>
        <w:spacing w:after="60"/>
      </w:pPr>
      <w:r>
        <w:t xml:space="preserve">CRM con múltiples embudos (pipelines), etapas, oportunidades con probabilidad, monto, origen y motivo de pérdida, y actividades (llamadas, correos, reuniones, tareas).</w:t>
      </w:r>
    </w:p>
    <w:p>
      <w:pPr>
        <w:pStyle w:val="ListParagraph"/>
        <w:numPr>
          <w:ilvl w:val="0"/>
          <w:numId w:val="2"/>
        </w:numPr>
        <w:spacing w:after="60"/>
      </w:pPr>
      <w:r>
        <w:t xml:space="preserve">Pedidos de venta con descuentos e impuestos por línea.</w:t>
      </w:r>
    </w:p>
    <w:p>
      <w:pPr>
        <w:pStyle w:val="ListParagraph"/>
        <w:numPr>
          <w:ilvl w:val="0"/>
          <w:numId w:val="2"/>
        </w:numPr>
        <w:spacing w:after="60"/>
      </w:pPr>
      <w:r>
        <w:t xml:space="preserve">Facturación enlazada al pedido, con control de saldo y estatus de pago.</w:t>
      </w:r>
    </w:p>
    <w:p>
      <w:pPr>
        <w:pStyle w:val="ListParagraph"/>
        <w:numPr>
          <w:ilvl w:val="0"/>
          <w:numId w:val="2"/>
        </w:numPr>
        <w:spacing w:after="60"/>
      </w:pPr>
      <w:r>
        <w:t xml:space="preserve">Registro de pagos/cobros y aplicación a una o varias facturas.</w:t>
      </w:r>
    </w:p>
    <w:p>
      <w:pPr>
        <w:pStyle w:val="Heading3"/>
      </w:pPr>
      <w:r>
        <w:t xml:space="preserve">Reglas clave</w:t>
      </w:r>
    </w:p>
    <w:p>
      <w:pPr>
        <w:pStyle w:val="ListParagraph"/>
        <w:numPr>
          <w:ilvl w:val="0"/>
          <w:numId w:val="2"/>
        </w:numPr>
        <w:spacing w:after="60"/>
      </w:pPr>
      <w:r>
        <w:t xml:space="preserve">La confirmación de un pedido descuenta inventario; la factura genera el asiento contable y la cuenta por cobrar.</w:t>
      </w:r>
    </w:p>
    <w:p>
      <w:pPr>
        <w:pStyle w:val="ListParagraph"/>
        <w:numPr>
          <w:ilvl w:val="0"/>
          <w:numId w:val="2"/>
        </w:numPr>
        <w:spacing w:after="60"/>
      </w:pPr>
      <w:r>
        <w:t xml:space="preserve">El saldo de la factura se recalcula con cada aplicación de pago.</w:t>
      </w:r>
    </w:p>
    <w:p>
      <w:pPr>
        <w:pStyle w:val="Heading3"/>
      </w:pPr>
      <w:r>
        <w:t xml:space="preserve">Punto de venta (POS) ágil</w:t>
      </w:r>
    </w:p>
    <w:p>
      <w:pPr>
        <w:pStyle w:val="ListParagraph"/>
        <w:numPr>
          <w:ilvl w:val="0"/>
          <w:numId w:val="2"/>
        </w:numPr>
        <w:spacing w:after="60"/>
      </w:pPr>
      <w:r>
        <w:t xml:space="preserve">Diseñado para velocidad: búsqueda/escaneo, alta de líneas con un toque y cobro en segundos.</w:t>
      </w:r>
    </w:p>
    <w:p>
      <w:pPr>
        <w:pStyle w:val="ListParagraph"/>
        <w:numPr>
          <w:ilvl w:val="0"/>
          <w:numId w:val="2"/>
        </w:numPr>
        <w:spacing w:after="60"/>
      </w:pPr>
      <w:r>
        <w:t xml:space="preserve">Medios de pago configurables (efectivo, transferencia, SINPE, tarjeta), cada uno ligado a la cuenta bancaria donde entra el dinero, para automatizar el registro contable y la conciliación.</w:t>
      </w:r>
    </w:p>
    <w:p>
      <w:pPr>
        <w:pStyle w:val="ListParagraph"/>
        <w:numPr>
          <w:ilvl w:val="0"/>
          <w:numId w:val="2"/>
        </w:numPr>
        <w:spacing w:after="60"/>
      </w:pPr>
      <w:r>
        <w:t xml:space="preserve">El pago de tarjeta guarda adquirente, autorización y últimos 4 dígitos; transferencia/SINPE quedan asociados a su banco.</w:t>
      </w:r>
    </w:p>
    <w:p>
      <w:pPr>
        <w:pStyle w:val="ListParagraph"/>
        <w:numPr>
          <w:ilvl w:val="0"/>
          <w:numId w:val="2"/>
        </w:numPr>
        <w:spacing w:after="60"/>
      </w:pPr>
      <w:r>
        <w:t xml:space="preserve">Sesión de caja por terminal (apertura y turno) para control del efectivo.</w:t>
      </w:r>
    </w:p>
    <w:p>
      <w:pPr>
        <w:pStyle w:val="ListParagraph"/>
        <w:numPr>
          <w:ilvl w:val="0"/>
          <w:numId w:val="2"/>
        </w:numPr>
        <w:spacing w:after="60"/>
      </w:pPr>
      <w:r>
        <w:t xml:space="preserve">Disponible en computadora y móvil; el móvil permite escanear con la cámara.</w:t>
      </w:r>
    </w:p>
    <w:p>
      <w:pPr>
        <w:pStyle w:val="Heading3"/>
      </w:pPr>
      <w:r>
        <w:t xml:space="preserve">Cierre de caja (arqueo)</w:t>
      </w:r>
    </w:p>
    <w:p>
      <w:pPr>
        <w:pStyle w:val="ListParagraph"/>
        <w:numPr>
          <w:ilvl w:val="0"/>
          <w:numId w:val="2"/>
        </w:numPr>
        <w:spacing w:after="60"/>
      </w:pPr>
      <w:r>
        <w:t xml:space="preserve">Cierre por sesión/turno que compara lo esperado por el sistema vs. lo contado, por cada medio de pago (efectivo, tarjeta, transferencia, SINPE).</w:t>
      </w:r>
    </w:p>
    <w:p>
      <w:pPr>
        <w:pStyle w:val="ListParagraph"/>
        <w:numPr>
          <w:ilvl w:val="0"/>
          <w:numId w:val="2"/>
        </w:numPr>
        <w:spacing w:after="60"/>
      </w:pPr>
      <w:r>
        <w:t xml:space="preserve">Conteo de efectivo por denominaciones (billetes y monedas) que calcula el total automáticamente.</w:t>
      </w:r>
    </w:p>
    <w:p>
      <w:pPr>
        <w:pStyle w:val="ListParagraph"/>
        <w:numPr>
          <w:ilvl w:val="0"/>
          <w:numId w:val="2"/>
        </w:numPr>
        <w:spacing w:after="60"/>
      </w:pPr>
      <w:r>
        <w:t xml:space="preserve">Cálculo de diferencia (sobrante o faltante) y registro de quién y cuándo cerró.</w:t>
      </w:r>
    </w:p>
    <w:p>
      <w:pPr>
        <w:pStyle w:val="ListParagraph"/>
        <w:numPr>
          <w:ilvl w:val="0"/>
          <w:numId w:val="2"/>
        </w:numPr>
        <w:spacing w:after="60"/>
      </w:pPr>
      <w:r>
        <w:t xml:space="preserve">Movimientos de efectivo del turno: ingresos, retiros y pagos en efectivo (caja chica).</w:t>
      </w:r>
    </w:p>
    <w:p>
      <w:pPr>
        <w:pStyle w:val="ListParagraph"/>
        <w:numPr>
          <w:ilvl w:val="0"/>
          <w:numId w:val="2"/>
        </w:numPr>
        <w:spacing w:after="60"/>
      </w:pPr>
      <w:r>
        <w:t xml:space="preserve">Registro del depósito del efectivo a la cuenta bancaria correspondiente.</w:t>
      </w:r>
    </w:p>
    <w:p>
      <w:pPr>
        <w:pStyle w:val="ListParagraph"/>
        <w:numPr>
          <w:ilvl w:val="0"/>
          <w:numId w:val="2"/>
        </w:numPr>
        <w:spacing w:after="60"/>
      </w:pPr>
      <w:r>
        <w:t xml:space="preserve">No se puede cerrar la sesión con arqueo incompleto; el cierre deja la caja lista para el siguiente turno.</w:t>
      </w:r>
    </w:p>
    <w:p>
      <w:pPr>
        <w:pStyle w:val="Heading2"/>
      </w:pPr>
      <w:r>
        <w:t xml:space="preserve">5.3 Contabilidad y Finanzas</w:t>
      </w:r>
    </w:p>
    <w:p>
      <w:pPr>
        <w:spacing w:after="120"/>
      </w:pPr>
      <w:r>
        <w:t xml:space="preserve">El corazón financiero del ERP: registra el impacto económico de toda la operación.</w:t>
      </w:r>
    </w:p>
    <w:p>
      <w:pPr>
        <w:pStyle w:val="Heading3"/>
      </w:pPr>
      <w:r>
        <w:t xml:space="preserve">Funcionalidades</w:t>
      </w:r>
    </w:p>
    <w:p>
      <w:pPr>
        <w:pStyle w:val="ListParagraph"/>
        <w:numPr>
          <w:ilvl w:val="0"/>
          <w:numId w:val="2"/>
        </w:numPr>
        <w:spacing w:after="60"/>
      </w:pPr>
      <w:r>
        <w:t xml:space="preserve">Plan de cuentas jerárquico con tipos (activo, pasivo, capital, ingreso, gasto).</w:t>
      </w:r>
    </w:p>
    <w:p>
      <w:pPr>
        <w:pStyle w:val="ListParagraph"/>
        <w:numPr>
          <w:ilvl w:val="0"/>
          <w:numId w:val="2"/>
        </w:numPr>
        <w:spacing w:after="60"/>
      </w:pPr>
      <w:r>
        <w:t xml:space="preserve">Periodos fiscales con apertura y cierre.</w:t>
      </w:r>
    </w:p>
    <w:p>
      <w:pPr>
        <w:pStyle w:val="ListParagraph"/>
        <w:numPr>
          <w:ilvl w:val="0"/>
          <w:numId w:val="2"/>
        </w:numPr>
        <w:spacing w:after="60"/>
      </w:pPr>
      <w:r>
        <w:t xml:space="preserve">Asientos de partida doble, manuales y automáticos (desde facturas, pagos, recepciones).</w:t>
      </w:r>
    </w:p>
    <w:p>
      <w:pPr>
        <w:pStyle w:val="ListParagraph"/>
        <w:numPr>
          <w:ilvl w:val="0"/>
          <w:numId w:val="2"/>
        </w:numPr>
        <w:spacing w:after="60"/>
      </w:pPr>
      <w:r>
        <w:t xml:space="preserve">Cuentas por cobrar y por pagar derivadas de facturas y pagos.</w:t>
      </w:r>
    </w:p>
    <w:p>
      <w:pPr>
        <w:pStyle w:val="ListParagraph"/>
        <w:numPr>
          <w:ilvl w:val="0"/>
          <w:numId w:val="2"/>
        </w:numPr>
        <w:spacing w:after="60"/>
      </w:pPr>
      <w:r>
        <w:t xml:space="preserve">Reportes: balance de comprobación, estado de resultados y balance general básicos.</w:t>
      </w:r>
    </w:p>
    <w:p>
      <w:pPr>
        <w:pStyle w:val="Heading3"/>
      </w:pPr>
      <w:r>
        <w:t xml:space="preserve">Reglas clave</w:t>
      </w:r>
    </w:p>
    <w:p>
      <w:pPr>
        <w:pStyle w:val="ListParagraph"/>
        <w:numPr>
          <w:ilvl w:val="0"/>
          <w:numId w:val="2"/>
        </w:numPr>
        <w:spacing w:after="60"/>
      </w:pPr>
      <w:r>
        <w:t xml:space="preserve">Todo asiento debe cuadrar (suma de débitos = suma de créditos) antes de contabilizarse.</w:t>
      </w:r>
    </w:p>
    <w:p>
      <w:pPr>
        <w:pStyle w:val="ListParagraph"/>
        <w:numPr>
          <w:ilvl w:val="0"/>
          <w:numId w:val="2"/>
        </w:numPr>
        <w:spacing w:after="60"/>
      </w:pPr>
      <w:r>
        <w:t xml:space="preserve">No se permiten asientos en periodos cerrados.</w:t>
      </w:r>
    </w:p>
    <w:p>
      <w:pPr>
        <w:pStyle w:val="Heading2"/>
      </w:pPr>
      <w:r>
        <w:t xml:space="preserve">5.4 Multimoneda</w:t>
      </w:r>
    </w:p>
    <w:p>
      <w:pPr>
        <w:spacing w:after="120"/>
      </w:pPr>
      <w:r>
        <w:t xml:space="preserve">El ERP opera de forma nativa en varias monedas. Cada empresa define una moneda base (en la que se lleva la contabilidad y se consolidan los reportes) y puede registrar documentos en cualquier moneda configurada.</w:t>
      </w:r>
    </w:p>
    <w:p>
      <w:pPr>
        <w:pStyle w:val="Heading3"/>
      </w:pPr>
      <w:r>
        <w:t xml:space="preserve">Funcionalidades</w:t>
      </w:r>
    </w:p>
    <w:p>
      <w:pPr>
        <w:pStyle w:val="ListParagraph"/>
        <w:numPr>
          <w:ilvl w:val="0"/>
          <w:numId w:val="2"/>
        </w:numPr>
        <w:spacing w:after="60"/>
      </w:pPr>
      <w:r>
        <w:t xml:space="preserve">Catálogo de monedas y tabla de tipos de cambio por fecha (exchange_rate).</w:t>
      </w:r>
    </w:p>
    <w:p>
      <w:pPr>
        <w:pStyle w:val="ListParagraph"/>
        <w:numPr>
          <w:ilvl w:val="0"/>
          <w:numId w:val="2"/>
        </w:numPr>
        <w:spacing w:after="60"/>
      </w:pPr>
      <w:r>
        <w:t xml:space="preserve">Cada documento (compra, venta, factura, pago) guarda su moneda, el tipo de cambio aplicado y el importe convertido a moneda base.</w:t>
      </w:r>
    </w:p>
    <w:p>
      <w:pPr>
        <w:pStyle w:val="ListParagraph"/>
        <w:numPr>
          <w:ilvl w:val="0"/>
          <w:numId w:val="2"/>
        </w:numPr>
        <w:spacing w:after="60"/>
      </w:pPr>
      <w:r>
        <w:t xml:space="preserve">Listas de precios por moneda (price_list), para fijar precios específicos en cada divisa en lugar de depender solo de la conversión.</w:t>
      </w:r>
    </w:p>
    <w:p>
      <w:pPr>
        <w:pStyle w:val="ListParagraph"/>
        <w:numPr>
          <w:ilvl w:val="0"/>
          <w:numId w:val="2"/>
        </w:numPr>
        <w:spacing w:after="60"/>
      </w:pPr>
      <w:r>
        <w:t xml:space="preserve">Cada tercero (cliente/proveedor) tiene una moneda preferida de operación.</w:t>
      </w:r>
    </w:p>
    <w:p>
      <w:pPr>
        <w:pStyle w:val="ListParagraph"/>
        <w:numPr>
          <w:ilvl w:val="0"/>
          <w:numId w:val="2"/>
        </w:numPr>
        <w:spacing w:after="60"/>
      </w:pPr>
      <w:r>
        <w:t xml:space="preserve">La contabilidad registra cada línea en moneda base y conserva la moneda y el importe de origen para conciliación.</w:t>
      </w:r>
    </w:p>
    <w:p>
      <w:pPr>
        <w:pStyle w:val="Heading3"/>
      </w:pPr>
      <w:r>
        <w:t xml:space="preserve">Reglas clave</w:t>
      </w:r>
    </w:p>
    <w:p>
      <w:pPr>
        <w:pStyle w:val="ListParagraph"/>
        <w:numPr>
          <w:ilvl w:val="0"/>
          <w:numId w:val="2"/>
        </w:numPr>
        <w:spacing w:after="60"/>
      </w:pPr>
      <w:r>
        <w:t xml:space="preserve">El tipo de cambio se fija al momento de emitir el documento y queda inmutable en él.</w:t>
      </w:r>
    </w:p>
    <w:p>
      <w:pPr>
        <w:pStyle w:val="ListParagraph"/>
        <w:numPr>
          <w:ilvl w:val="0"/>
          <w:numId w:val="2"/>
        </w:numPr>
        <w:spacing w:after="60"/>
      </w:pPr>
      <w:r>
        <w:t xml:space="preserve">Los reportes financieros se consolidan en moneda base; las diferencias cambiarias pueden registrarse como ajuste contable.</w:t>
      </w:r>
    </w:p>
    <w:p>
      <w:pPr>
        <w:pStyle w:val="ListParagraph"/>
        <w:numPr>
          <w:ilvl w:val="0"/>
          <w:numId w:val="2"/>
        </w:numPr>
        <w:spacing w:after="60"/>
      </w:pPr>
      <w:r>
        <w:t xml:space="preserve">Los saldos por cobrar/pagar se conservan en la moneda original del documento y se valoran en moneda base para el balance.</w:t>
      </w:r>
    </w:p>
    <w:p>
      <w:pPr>
        <w:pStyle w:val="Heading2"/>
      </w:pPr>
      <w:r>
        <w:t xml:space="preserve">5.5 Seriales y Garantías</w:t>
      </w:r>
    </w:p>
    <w:p>
      <w:pPr>
        <w:spacing w:after="120"/>
      </w:pPr>
      <w:r>
        <w:t xml:space="preserve">Los productos pueden marcarse con seguimiento por número de serie (tracking_type = SERIAL). Cada unidad física se identifica y rastrea individualmente, lo que es esencial para la gestión de garantías y la atención posventa.</w:t>
      </w:r>
    </w:p>
    <w:p>
      <w:pPr>
        <w:pStyle w:val="Heading3"/>
      </w:pPr>
      <w:r>
        <w:t xml:space="preserve">Funcionalidades</w:t>
      </w:r>
    </w:p>
    <w:p>
      <w:pPr>
        <w:pStyle w:val="ListParagraph"/>
        <w:numPr>
          <w:ilvl w:val="0"/>
          <w:numId w:val="2"/>
        </w:numPr>
        <w:spacing w:after="60"/>
      </w:pPr>
      <w:r>
        <w:t xml:space="preserve">Registro de cada unidad con su número de serie único (product_serial).</w:t>
      </w:r>
    </w:p>
    <w:p>
      <w:pPr>
        <w:pStyle w:val="ListParagraph"/>
        <w:numPr>
          <w:ilvl w:val="0"/>
          <w:numId w:val="2"/>
        </w:numPr>
        <w:spacing w:after="60"/>
      </w:pPr>
      <w:r>
        <w:t xml:space="preserve">Trazabilidad completa: de qué recepción/proveedor entró y en qué factura/cliente salió.</w:t>
      </w:r>
    </w:p>
    <w:p>
      <w:pPr>
        <w:pStyle w:val="ListParagraph"/>
        <w:numPr>
          <w:ilvl w:val="0"/>
          <w:numId w:val="2"/>
        </w:numPr>
        <w:spacing w:after="60"/>
      </w:pPr>
      <w:r>
        <w:t xml:space="preserve">Estado de la unidad: en stock, vendida, devuelta, defectuosa, en reparación o desechada.</w:t>
      </w:r>
    </w:p>
    <w:p>
      <w:pPr>
        <w:pStyle w:val="ListParagraph"/>
        <w:numPr>
          <w:ilvl w:val="0"/>
          <w:numId w:val="2"/>
        </w:numPr>
        <w:spacing w:after="60"/>
      </w:pPr>
      <w:r>
        <w:t xml:space="preserve">Cálculo automático de la vigencia de garantía a partir de la fecha de venta y los meses de garantía del producto.</w:t>
      </w:r>
    </w:p>
    <w:p>
      <w:pPr>
        <w:pStyle w:val="ListParagraph"/>
        <w:numPr>
          <w:ilvl w:val="0"/>
          <w:numId w:val="2"/>
        </w:numPr>
        <w:spacing w:after="60"/>
      </w:pPr>
      <w:r>
        <w:t xml:space="preserve">Gestión de reclamos de garantía (warranty_claim) con flujo Abierto → En revisión → Aprobado/Rechazado → Resuelto.</w:t>
      </w:r>
    </w:p>
    <w:p>
      <w:pPr>
        <w:pStyle w:val="ListParagraph"/>
        <w:numPr>
          <w:ilvl w:val="0"/>
          <w:numId w:val="2"/>
        </w:numPr>
        <w:spacing w:after="60"/>
      </w:pPr>
      <w:r>
        <w:t xml:space="preserve">Resolución del reclamo por reparación, reemplazo (vinculando la unidad sustituta) o reembolso.</w:t>
      </w:r>
    </w:p>
    <w:p>
      <w:pPr>
        <w:pStyle w:val="Heading3"/>
      </w:pPr>
      <w:r>
        <w:t xml:space="preserve">Reglas clave</w:t>
      </w:r>
    </w:p>
    <w:p>
      <w:pPr>
        <w:pStyle w:val="ListParagraph"/>
        <w:numPr>
          <w:ilvl w:val="0"/>
          <w:numId w:val="2"/>
        </w:numPr>
        <w:spacing w:after="60"/>
      </w:pPr>
      <w:r>
        <w:t xml:space="preserve">Al recibir mercancía de un producto serializado, se captura el serial de cada unidad; al facturar, se asigna el serial vendido.</w:t>
      </w:r>
    </w:p>
    <w:p>
      <w:pPr>
        <w:pStyle w:val="ListParagraph"/>
        <w:numPr>
          <w:ilvl w:val="0"/>
          <w:numId w:val="2"/>
        </w:numPr>
        <w:spacing w:after="60"/>
      </w:pPr>
      <w:r>
        <w:t xml:space="preserve">La fecha de inicio de garantía es normalmente la fecha de venta; el sistema valida automáticamente si un reclamo está dentro de garantía.</w:t>
      </w:r>
    </w:p>
    <w:p>
      <w:pPr>
        <w:pStyle w:val="ListParagraph"/>
        <w:numPr>
          <w:ilvl w:val="0"/>
          <w:numId w:val="2"/>
        </w:numPr>
        <w:spacing w:after="60"/>
      </w:pPr>
      <w:r>
        <w:t xml:space="preserve">Las existencias de productos serializados se concilian contra el número de unidades activas en stock.</w:t>
      </w:r>
    </w:p>
    <w:p>
      <w:pPr>
        <w:pStyle w:val="Heading2"/>
      </w:pPr>
      <w:r>
        <w:t xml:space="preserve">5.6 Taller / Servicio Técnico</w:t>
      </w:r>
    </w:p>
    <w:p>
      <w:pPr>
        <w:spacing w:after="120"/>
      </w:pPr>
      <w:r>
        <w:t xml:space="preserve">Gestiona la reparación y el servicio posventa de productos, tanto por garantía como por cobro. Se integra directamente con inventario (consumo de repuestos), seriales/garantías y facturación, cerrando el ciclo de atención al cliente.</w:t>
      </w:r>
    </w:p>
    <w:p>
      <w:pPr>
        <w:pStyle w:val="Heading3"/>
      </w:pPr>
      <w:r>
        <w:t xml:space="preserve">Funcionalidades</w:t>
      </w:r>
    </w:p>
    <w:p>
      <w:pPr>
        <w:pStyle w:val="ListParagraph"/>
        <w:numPr>
          <w:ilvl w:val="0"/>
          <w:numId w:val="2"/>
        </w:numPr>
        <w:spacing w:after="60"/>
      </w:pPr>
      <w:r>
        <w:t xml:space="preserve">Órdenes de servicio con datos del equipo recibido: producto del catálogo, unidad serializada o equipo externo (marca, modelo, serial declarado, accesorios).</w:t>
      </w:r>
    </w:p>
    <w:p>
      <w:pPr>
        <w:pStyle w:val="ListParagraph"/>
        <w:numPr>
          <w:ilvl w:val="0"/>
          <w:numId w:val="2"/>
        </w:numPr>
        <w:spacing w:after="60"/>
      </w:pPr>
      <w:r>
        <w:t xml:space="preserve">Vínculo opcional con un reclamo de garantía: si el servicio está cubierto, los repuestos y la mano de obra pueden marcarse como no facturables.</w:t>
      </w:r>
    </w:p>
    <w:p>
      <w:pPr>
        <w:pStyle w:val="ListParagraph"/>
        <w:numPr>
          <w:ilvl w:val="0"/>
          <w:numId w:val="2"/>
        </w:numPr>
        <w:spacing w:after="60"/>
      </w:pPr>
      <w:r>
        <w:t xml:space="preserve">Flujo de estados del taller: Recibido → Diagnóstico → Cotizado → Esperando aprobación/repuestos → En reparación → Listo → Entregado.</w:t>
      </w:r>
    </w:p>
    <w:p>
      <w:pPr>
        <w:pStyle w:val="ListParagraph"/>
        <w:numPr>
          <w:ilvl w:val="0"/>
          <w:numId w:val="2"/>
        </w:numPr>
        <w:spacing w:after="60"/>
      </w:pPr>
      <w:r>
        <w:t xml:space="preserve">Registro de repuestos consumidos (descuentan inventario) y de mano de obra por técnico, con horas y tarifa.</w:t>
      </w:r>
    </w:p>
    <w:p>
      <w:pPr>
        <w:pStyle w:val="ListParagraph"/>
        <w:numPr>
          <w:ilvl w:val="0"/>
          <w:numId w:val="2"/>
        </w:numPr>
        <w:spacing w:after="60"/>
      </w:pPr>
      <w:r>
        <w:t xml:space="preserve">Asignación a técnicos y bitácora de historial de estados.</w:t>
      </w:r>
    </w:p>
    <w:p>
      <w:pPr>
        <w:pStyle w:val="ListParagraph"/>
        <w:numPr>
          <w:ilvl w:val="0"/>
          <w:numId w:val="2"/>
        </w:numPr>
        <w:spacing w:after="60"/>
      </w:pPr>
      <w:r>
        <w:t xml:space="preserve">Generación de factura al entregar, con totales separados de repuestos y mano de obra (multimoneda).</w:t>
      </w:r>
    </w:p>
    <w:p>
      <w:pPr>
        <w:pStyle w:val="Heading3"/>
      </w:pPr>
      <w:r>
        <w:t xml:space="preserve">Reglas clave</w:t>
      </w:r>
    </w:p>
    <w:p>
      <w:pPr>
        <w:pStyle w:val="ListParagraph"/>
        <w:numPr>
          <w:ilvl w:val="0"/>
          <w:numId w:val="2"/>
        </w:numPr>
        <w:spacing w:after="60"/>
      </w:pPr>
      <w:r>
        <w:t xml:space="preserve">Los repuestos consumidos generan movimientos de salida de inventario; si son serializados, se descuenta la unidad específica.</w:t>
      </w:r>
    </w:p>
    <w:p>
      <w:pPr>
        <w:pStyle w:val="ListParagraph"/>
        <w:numPr>
          <w:ilvl w:val="0"/>
          <w:numId w:val="2"/>
        </w:numPr>
        <w:spacing w:after="60"/>
      </w:pPr>
      <w:r>
        <w:t xml:space="preserve">En servicios por garantía dentro de vigencia, las líneas cubiertas no se facturan al cliente.</w:t>
      </w:r>
    </w:p>
    <w:p>
      <w:pPr>
        <w:pStyle w:val="ListParagraph"/>
        <w:numPr>
          <w:ilvl w:val="0"/>
          <w:numId w:val="2"/>
        </w:numPr>
        <w:spacing w:after="60"/>
      </w:pPr>
      <w:r>
        <w:t xml:space="preserve">La entrega cierra la orden y, si aplica, enlaza la factura generada.</w:t>
      </w:r>
    </w:p>
    <w:p>
      <w:pPr>
        <w:pStyle w:val="Heading3"/>
      </w:pPr>
      <w:r>
        <w:t xml:space="preserve">Agenda de trabajo</w:t>
      </w:r>
    </w:p>
    <w:p>
      <w:pPr>
        <w:pStyle w:val="ListParagraph"/>
        <w:numPr>
          <w:ilvl w:val="0"/>
          <w:numId w:val="2"/>
        </w:numPr>
        <w:spacing w:after="60"/>
      </w:pPr>
      <w:r>
        <w:t xml:space="preserve">Calendario de citas para programar el ingreso de equipos y el trabajo del taller, por técnico y sucursal.</w:t>
      </w:r>
    </w:p>
    <w:p>
      <w:pPr>
        <w:pStyle w:val="ListParagraph"/>
        <w:numPr>
          <w:ilvl w:val="0"/>
          <w:numId w:val="2"/>
        </w:numPr>
        <w:spacing w:after="60"/>
      </w:pPr>
      <w:r>
        <w:t xml:space="preserve">Estados de la cita: agendada, confirmada, ingresada (check-in), realizada, cancelada o no se presentó.</w:t>
      </w:r>
    </w:p>
    <w:p>
      <w:pPr>
        <w:pStyle w:val="ListParagraph"/>
        <w:numPr>
          <w:ilvl w:val="0"/>
          <w:numId w:val="2"/>
        </w:numPr>
        <w:spacing w:after="60"/>
      </w:pPr>
      <w:r>
        <w:t xml:space="preserve">Al ingresar el equipo, la cita se enlaza con la orden de servicio y registra la hora real de ingreso.</w:t>
      </w:r>
    </w:p>
    <w:p>
      <w:pPr>
        <w:pStyle w:val="Heading3"/>
      </w:pPr>
      <w:r>
        <w:t xml:space="preserve">Notificaciones al cliente (WhatsApp / Email)</w:t>
      </w:r>
    </w:p>
    <w:p>
      <w:pPr>
        <w:pStyle w:val="ListParagraph"/>
        <w:numPr>
          <w:ilvl w:val="0"/>
          <w:numId w:val="2"/>
        </w:numPr>
        <w:spacing w:after="60"/>
      </w:pPr>
      <w:r>
        <w:t xml:space="preserve">Envío automático de avisos por WhatsApp o correo en eventos clave: ingreso del equipo, diagnóstico, listo para retirar y entregado.</w:t>
      </w:r>
    </w:p>
    <w:p>
      <w:pPr>
        <w:pStyle w:val="ListParagraph"/>
        <w:numPr>
          <w:ilvl w:val="0"/>
          <w:numId w:val="2"/>
        </w:numPr>
        <w:spacing w:after="60"/>
      </w:pPr>
      <w:r>
        <w:t xml:space="preserve">Plantillas configurables por evento y canal, con marcadores (nombre del cliente, número de orden, equipo, total).</w:t>
      </w:r>
    </w:p>
    <w:p>
      <w:pPr>
        <w:pStyle w:val="ListParagraph"/>
        <w:numPr>
          <w:ilvl w:val="0"/>
          <w:numId w:val="2"/>
        </w:numPr>
        <w:spacing w:after="60"/>
      </w:pPr>
      <w:r>
        <w:t xml:space="preserve">Bitácora de mensajes con su estado de entrega (encolado, enviado, entregado, leído, fallido).</w:t>
      </w:r>
    </w:p>
    <w:p>
      <w:pPr>
        <w:pStyle w:val="ListParagraph"/>
        <w:numPr>
          <w:ilvl w:val="0"/>
          <w:numId w:val="2"/>
        </w:numPr>
        <w:spacing w:after="60"/>
      </w:pPr>
      <w:r>
        <w:t xml:space="preserve">Requiere conectar un proveedor: WhatsApp Business API (oficial, vía Meta o un BSP como Twilio/360dialog) y un servicio de correo (SMTP/SendGrid). El diseño deja el envío desacoplado para cambiar de proveedor sin afectar el taller.</w:t>
      </w:r>
    </w:p>
    <w:p>
      <w:pPr>
        <w:pStyle w:val="Heading3"/>
      </w:pPr>
      <w:r>
        <w:t xml:space="preserve">Bitácora del proceso</w:t>
      </w:r>
    </w:p>
    <w:p>
      <w:pPr>
        <w:pStyle w:val="ListParagraph"/>
        <w:numPr>
          <w:ilvl w:val="0"/>
          <w:numId w:val="2"/>
        </w:numPr>
        <w:spacing w:after="60"/>
      </w:pPr>
      <w:r>
        <w:t xml:space="preserve">Registro cronológico de todo lo que ocurre en la orden: notas, diagnóstico, llamadas, solicitudes de repuesto, fotos y cambios de estado.</w:t>
      </w:r>
    </w:p>
    <w:p>
      <w:pPr>
        <w:pStyle w:val="ListParagraph"/>
        <w:numPr>
          <w:ilvl w:val="0"/>
          <w:numId w:val="2"/>
        </w:numPr>
        <w:spacing w:after="60"/>
      </w:pPr>
      <w:r>
        <w:t xml:space="preserve">Entradas marcables como visibles para el cliente, separando lo interno de lo compartible.</w:t>
      </w:r>
    </w:p>
    <w:p>
      <w:pPr>
        <w:pStyle w:val="Heading3"/>
      </w:pPr>
      <w:r>
        <w:t xml:space="preserve">Semáforo de estado por tiempo (SLA)</w:t>
      </w:r>
    </w:p>
    <w:p>
      <w:pPr>
        <w:pStyle w:val="ListParagraph"/>
        <w:numPr>
          <w:ilvl w:val="0"/>
          <w:numId w:val="2"/>
        </w:numPr>
        <w:spacing w:after="60"/>
      </w:pPr>
      <w:r>
        <w:t xml:space="preserve">Cada orden se clasifica con un color según el tiempo del proceso frente a su objetivo (SLA): verde dentro de tiempo, amarillo por vencer y rojo vencida (gris al cerrarse).</w:t>
      </w:r>
    </w:p>
    <w:p>
      <w:pPr>
        <w:pStyle w:val="ListParagraph"/>
        <w:numPr>
          <w:ilvl w:val="0"/>
          <w:numId w:val="2"/>
        </w:numPr>
        <w:spacing w:after="60"/>
      </w:pPr>
      <w:r>
        <w:t xml:space="preserve">El objetivo (horas) se define por políticas de SLA según prioridad o tipo de servicio (normal, express, garantía).</w:t>
      </w:r>
    </w:p>
    <w:p>
      <w:pPr>
        <w:pStyle w:val="ListParagraph"/>
        <w:numPr>
          <w:ilvl w:val="0"/>
          <w:numId w:val="2"/>
        </w:numPr>
        <w:spacing w:after="60"/>
      </w:pPr>
      <w:r>
        <w:t xml:space="preserve">Permite priorizar visualmente el tablero del taller y cumplir tiempos de entrega.</w:t>
      </w:r>
    </w:p>
    <w:p>
      <w:pPr>
        <w:pStyle w:val="Heading2"/>
      </w:pPr>
      <w:r>
        <w:t xml:space="preserve">5.7 Cumplimiento fiscal: Factura Electrónica (Costa Rica)</w:t>
      </w:r>
    </w:p>
    <w:p>
      <w:pPr>
        <w:spacing w:after="120"/>
      </w:pPr>
      <w:r>
        <w:t xml:space="preserve">El sistema se homologa al esquema de comprobantes electrónicos del Ministerio de Hacienda de Costa Rica, versión 4.4, de uso obligatorio desde el 1 de septiembre de 2025, y a la plataforma TRIBU-CR, que reemplazó a ATV en octubre de 2025. Esto permite emitir y recibir comprobantes válidos ante Hacienda directamente desde el ERP.</w:t>
      </w:r>
    </w:p>
    <w:p>
      <w:pPr>
        <w:pStyle w:val="Heading3"/>
      </w:pPr>
      <w:r>
        <w:t xml:space="preserve">Requisitos cubiertos</w:t>
      </w:r>
    </w:p>
    <w:p>
      <w:pPr>
        <w:pStyle w:val="ListParagraph"/>
        <w:numPr>
          <w:ilvl w:val="0"/>
          <w:numId w:val="2"/>
        </w:numPr>
        <w:spacing w:after="60"/>
      </w:pPr>
      <w:r>
        <w:t xml:space="preserve">Tipos de comprobante: Factura Electrónica (FE), Tiquete Electrónico (TE), Notas de Crédito (NC) y Débito (ND), Factura de Compra (FEC), de Exportación (FEE) y Recibo Electrónico de Pago (REP).</w:t>
      </w:r>
    </w:p>
    <w:p>
      <w:pPr>
        <w:pStyle w:val="ListParagraph"/>
        <w:numPr>
          <w:ilvl w:val="0"/>
          <w:numId w:val="2"/>
        </w:numPr>
        <w:spacing w:after="60"/>
      </w:pPr>
      <w:r>
        <w:t xml:space="preserve">Clave numérica única de 50 dígitos y consecutivo de 20 dígitos (sucursal, terminal, tipo de comprobante y secuencia) generados automáticamente.</w:t>
      </w:r>
    </w:p>
    <w:p>
      <w:pPr>
        <w:pStyle w:val="ListParagraph"/>
        <w:numPr>
          <w:ilvl w:val="0"/>
          <w:numId w:val="2"/>
        </w:numPr>
        <w:spacing w:after="60"/>
      </w:pPr>
      <w:r>
        <w:t xml:space="preserve">Código CAByS (hasta 13 dígitos) obligatorio por línea, vinculado a cada producto, con su tarifa de IVA.</w:t>
      </w:r>
    </w:p>
    <w:p>
      <w:pPr>
        <w:pStyle w:val="ListParagraph"/>
        <w:numPr>
          <w:ilvl w:val="0"/>
          <w:numId w:val="2"/>
        </w:numPr>
        <w:spacing w:after="60"/>
      </w:pPr>
      <w:r>
        <w:t xml:space="preserve">Código de actividad económica (CIIU 4) del emisor y del receptor.</w:t>
      </w:r>
    </w:p>
    <w:p>
      <w:pPr>
        <w:pStyle w:val="ListParagraph"/>
        <w:numPr>
          <w:ilvl w:val="0"/>
          <w:numId w:val="2"/>
        </w:numPr>
        <w:spacing w:after="60"/>
      </w:pPr>
      <w:r>
        <w:t xml:space="preserve">Condición de venta (contado/crédito) y medio de pago según catálogos de Hacienda.</w:t>
      </w:r>
    </w:p>
    <w:p>
      <w:pPr>
        <w:pStyle w:val="ListParagraph"/>
        <w:numPr>
          <w:ilvl w:val="0"/>
          <w:numId w:val="2"/>
        </w:numPr>
        <w:spacing w:after="60"/>
      </w:pPr>
      <w:r>
        <w:t xml:space="preserve">Referencias entre documentos (obligatorias en notas de crédito y débito).</w:t>
      </w:r>
    </w:p>
    <w:p>
      <w:pPr>
        <w:pStyle w:val="ListParagraph"/>
        <w:numPr>
          <w:ilvl w:val="0"/>
          <w:numId w:val="2"/>
        </w:numPr>
        <w:spacing w:after="60"/>
      </w:pPr>
      <w:r>
        <w:t xml:space="preserve">Recibo Electrónico de Pago (REP) para reportar el IVA al momento del cobro en operaciones a crédito.</w:t>
      </w:r>
    </w:p>
    <w:p>
      <w:pPr>
        <w:pStyle w:val="Heading3"/>
      </w:pPr>
      <w:r>
        <w:t xml:space="preserve">Flujo de emisión</w:t>
      </w:r>
    </w:p>
    <w:p>
      <w:pPr>
        <w:pStyle w:val="ListParagraph"/>
        <w:numPr>
          <w:ilvl w:val="0"/>
          <w:numId w:val="3"/>
        </w:numPr>
        <w:spacing w:after="60"/>
      </w:pPr>
      <w:r>
        <w:t xml:space="preserve">El ERP genera el XML del comprobante bajo el esquema 4.4.</w:t>
      </w:r>
    </w:p>
    <w:p>
      <w:pPr>
        <w:pStyle w:val="ListParagraph"/>
        <w:numPr>
          <w:ilvl w:val="0"/>
          <w:numId w:val="3"/>
        </w:numPr>
        <w:spacing w:after="60"/>
      </w:pPr>
      <w:r>
        <w:t xml:space="preserve">Se firma digitalmente con la llave criptográfica (.p12) del contribuyente, emitida por el BCCR.</w:t>
      </w:r>
    </w:p>
    <w:p>
      <w:pPr>
        <w:pStyle w:val="ListParagraph"/>
        <w:numPr>
          <w:ilvl w:val="0"/>
          <w:numId w:val="3"/>
        </w:numPr>
        <w:spacing w:after="60"/>
      </w:pPr>
      <w:r>
        <w:t xml:space="preserve">Se transmite vía API a Hacienda / TRIBU-CR.</w:t>
      </w:r>
    </w:p>
    <w:p>
      <w:pPr>
        <w:pStyle w:val="ListParagraph"/>
        <w:numPr>
          <w:ilvl w:val="0"/>
          <w:numId w:val="3"/>
        </w:numPr>
        <w:spacing w:after="60"/>
      </w:pPr>
      <w:r>
        <w:t xml:space="preserve">Hacienda responde con aceptación o rechazo; el estado y el XML de respuesta se almacenan.</w:t>
      </w:r>
    </w:p>
    <w:p>
      <w:pPr>
        <w:pStyle w:val="ListParagraph"/>
        <w:numPr>
          <w:ilvl w:val="0"/>
          <w:numId w:val="3"/>
        </w:numPr>
        <w:spacing w:after="60"/>
      </w:pPr>
      <w:r>
        <w:t xml:space="preserve">El comprobante (XML + representación gráfica en PDF) se envía al cliente.</w:t>
      </w:r>
    </w:p>
    <w:p>
      <w:pPr>
        <w:pStyle w:val="Heading3"/>
      </w:pPr>
      <w:r>
        <w:t xml:space="preserve">Reglas y consideraciones clave</w:t>
      </w:r>
    </w:p>
    <w:p>
      <w:pPr>
        <w:pStyle w:val="ListParagraph"/>
        <w:numPr>
          <w:ilvl w:val="0"/>
          <w:numId w:val="2"/>
        </w:numPr>
        <w:spacing w:after="60"/>
      </w:pPr>
      <w:r>
        <w:t xml:space="preserve">Se requiere certificado/llave criptográfica vigente del BCCR y credenciales de la API de Hacienda por empresa.</w:t>
      </w:r>
    </w:p>
    <w:p>
      <w:pPr>
        <w:pStyle w:val="ListParagraph"/>
        <w:numPr>
          <w:ilvl w:val="0"/>
          <w:numId w:val="2"/>
        </w:numPr>
        <w:spacing w:after="60"/>
      </w:pPr>
      <w:r>
        <w:t xml:space="preserve">Modo de contingencia: si no hay respuesta o conexión, el comprobante se marca con situación 2 (contingencia) o 3 (sin internet) y se reintenta la transmisión.</w:t>
      </w:r>
    </w:p>
    <w:p>
      <w:pPr>
        <w:pStyle w:val="ListParagraph"/>
        <w:numPr>
          <w:ilvl w:val="0"/>
          <w:numId w:val="2"/>
        </w:numPr>
        <w:spacing w:after="60"/>
      </w:pPr>
      <w:r>
        <w:t xml:space="preserve">Los comprobantes recibidos de proveedores deben aceptarse en TRIBU-CR dentro de los 8 días hábiles del mes siguiente para conservar el crédito de IVA; el módulo de compras lo gestiona.</w:t>
      </w:r>
    </w:p>
    <w:p>
      <w:pPr>
        <w:pStyle w:val="ListParagraph"/>
        <w:numPr>
          <w:ilvl w:val="0"/>
          <w:numId w:val="2"/>
        </w:numPr>
        <w:spacing w:after="60"/>
      </w:pPr>
      <w:r>
        <w:t xml:space="preserve">Bitácora completa de transmisiones (envíos, reintentos y respuestas) para auditoría.</w:t>
      </w:r>
    </w:p>
    <w:p>
      <w:pPr>
        <w:pStyle w:val="Heading3"/>
      </w:pPr>
      <w:r>
        <w:t xml:space="preserve">Arquitectura de integración: microservicio fiscal con adaptador</w:t>
      </w:r>
    </w:p>
    <w:p>
      <w:pPr>
        <w:spacing w:after="120"/>
      </w:pPr>
      <w:r>
        <w:t xml:space="preserve">A diferencia de México, Costa Rica no obliga a usar un PAC ni un tercero autorizado: Hacienda expone su propia API de recepción (autenticación OAuth 2.0 / OpenID Connect), por lo que la integración directa es válida. Aun así, la práctica recomendada —y la adoptada en este proyecto— es encapsular toda la facturación electrónica en un microservicio fiscal independiente del resto del ERP.</w:t>
      </w:r>
    </w:p>
    <w:p>
      <w:pPr>
        <w:spacing w:after="120"/>
      </w:pPr>
      <w:r>
        <w:t xml:space="preserve">El ERP no conoce los detalles de Hacienda: solo solicita al microservicio “emite este comprobante” y recibe el resultado (aceptado/rechazado, clave, XML firmado). El microservicio implementa un adaptador intercambiable que define a dónde se envía finalmente el comprobante, con dos implementaciones posibles:</w:t>
      </w:r>
    </w:p>
    <w:p>
      <w:pPr>
        <w:pStyle w:val="ListParagraph"/>
        <w:numPr>
          <w:ilvl w:val="0"/>
          <w:numId w:val="2"/>
        </w:numPr>
        <w:spacing w:after="60"/>
      </w:pPr>
      <w:r>
        <w:t xml:space="preserve">Adaptador directo: genera y firma el XML (XAdES-EPES con la llave .p12), gestiona el token OAuth y transmite directamente a la API de Hacienda. Control total, sin costo por documento.</w:t>
      </w:r>
    </w:p>
    <w:p>
      <w:pPr>
        <w:pStyle w:val="ListParagraph"/>
        <w:numPr>
          <w:ilvl w:val="0"/>
          <w:numId w:val="2"/>
        </w:numPr>
        <w:spacing w:after="60"/>
      </w:pPr>
      <w:r>
        <w:t xml:space="preserve">Adaptador por proveedor: delega emisión/transmisión en un tercero (GTI, Alegra, Facturele, Alanube, etc.), que se mantiene al día con los cambios de Hacienda. Más rápido de poner en marcha, con cuota recurrente.</w:t>
      </w:r>
    </w:p>
    <w:p>
      <w:pPr>
        <w:spacing w:after="120"/>
      </w:pPr>
      <w:r>
        <w:t xml:space="preserve">Estrategia adoptada: arrancar con el adaptador por proveedor para acelerar la salida a producción y reducir el riesgo regulatorio, manteniendo la opción de migrar al adaptador directo más adelante sin modificar el ERP. Esta decisión de diseño aísla al negocio de los cambios frecuentes de la normativa.</w:t>
      </w:r>
    </w:p>
    <w:p>
      <w:pPr>
        <w:pStyle w:val="Heading3"/>
      </w:pPr>
      <w:r>
        <w:t xml:space="preserve">Responsabilidades del microservicio fiscal</w:t>
      </w:r>
    </w:p>
    <w:p>
      <w:pPr>
        <w:pStyle w:val="ListParagraph"/>
        <w:numPr>
          <w:ilvl w:val="0"/>
          <w:numId w:val="2"/>
        </w:numPr>
        <w:spacing w:after="60"/>
      </w:pPr>
      <w:r>
        <w:t xml:space="preserve">Generación del XML 4.4 y firma digital XAdES-EPES.</w:t>
      </w:r>
    </w:p>
    <w:p>
      <w:pPr>
        <w:pStyle w:val="ListParagraph"/>
        <w:numPr>
          <w:ilvl w:val="0"/>
          <w:numId w:val="2"/>
        </w:numPr>
        <w:spacing w:after="60"/>
      </w:pPr>
      <w:r>
        <w:t xml:space="preserve">Gestión de credenciales y tokens (OAuth/OIDC) por empresa.</w:t>
      </w:r>
    </w:p>
    <w:p>
      <w:pPr>
        <w:pStyle w:val="ListParagraph"/>
        <w:numPr>
          <w:ilvl w:val="0"/>
          <w:numId w:val="2"/>
        </w:numPr>
        <w:spacing w:after="60"/>
      </w:pPr>
      <w:r>
        <w:t xml:space="preserve">Transmisión, consulta de estado y manejo de aceptado/rechazado.</w:t>
      </w:r>
    </w:p>
    <w:p>
      <w:pPr>
        <w:pStyle w:val="ListParagraph"/>
        <w:numPr>
          <w:ilvl w:val="0"/>
          <w:numId w:val="2"/>
        </w:numPr>
        <w:spacing w:after="60"/>
      </w:pPr>
      <w:r>
        <w:t xml:space="preserve">Modo contingencia (situación 2/3) y reintentos automáticos.</w:t>
      </w:r>
    </w:p>
    <w:p>
      <w:pPr>
        <w:pStyle w:val="ListParagraph"/>
        <w:numPr>
          <w:ilvl w:val="0"/>
          <w:numId w:val="2"/>
        </w:numPr>
        <w:spacing w:after="60"/>
      </w:pPr>
      <w:r>
        <w:t xml:space="preserve">Bitácora de cada envío y respuesta (tabla hacienda_transmission) para auditoría.</w:t>
      </w:r>
    </w:p>
    <w:p>
      <w:pPr>
        <w:pStyle w:val="ListParagraph"/>
        <w:numPr>
          <w:ilvl w:val="0"/>
          <w:numId w:val="2"/>
        </w:numPr>
        <w:spacing w:after="60"/>
      </w:pPr>
      <w:r>
        <w:t xml:space="preserve">Aceptación de comprobantes recibidos de proveedores en TRIBU-CR.</w:t>
      </w:r>
    </w:p>
    <w:p>
      <w:pPr>
        <w:spacing w:after="120" w:before="80"/>
      </w:pPr>
      <w:r>
        <w:rPr>
          <w:i/>
          <w:iCs/>
          <w:sz w:val="20"/>
          <w:szCs w:val="20"/>
        </w:rPr>
        <w:t xml:space="preserve">Nota: las disposiciones técnicas y catálogos (CAByS, actividades, códigos de referencia) se mantienen como datos configurables, ya que Hacienda los actualiza periódicamente. Conviene validar contra la documentación oficial vigente antes de salir a producción.</w:t>
      </w:r>
    </w:p>
    <w:p>
      <w:pPr>
        <w:pStyle w:val="Heading2"/>
      </w:pPr>
      <w:r>
        <w:t xml:space="preserve">5.8 Cotizaciones</w:t>
      </w:r>
    </w:p>
    <w:p>
      <w:pPr>
        <w:spacing w:after="120"/>
      </w:pPr>
      <w:r>
        <w:t xml:space="preserve">Herramienta comercial avanzada: además de ofertar, permite trabajar la rentabilidad de la cotización (costos y márgenes) y ajustarla con precisión antes de enviarla. Al aceptarse se convierte en pedido sin recapturar datos.</w:t>
      </w:r>
    </w:p>
    <w:p>
      <w:pPr>
        <w:pStyle w:val="Heading3"/>
      </w:pPr>
      <w:r>
        <w:t xml:space="preserve">Costos y márgenes</w:t>
      </w:r>
    </w:p>
    <w:p>
      <w:pPr>
        <w:pStyle w:val="ListParagraph"/>
        <w:numPr>
          <w:ilvl w:val="0"/>
          <w:numId w:val="2"/>
        </w:numPr>
        <w:spacing w:after="60"/>
      </w:pPr>
      <w:r>
        <w:t xml:space="preserve">Cada línea muestra costo unitario, precio, utilidad y porcentaje de margen.</w:t>
      </w:r>
    </w:p>
    <w:p>
      <w:pPr>
        <w:pStyle w:val="ListParagraph"/>
        <w:numPr>
          <w:ilvl w:val="0"/>
          <w:numId w:val="2"/>
        </w:numPr>
        <w:spacing w:after="60"/>
      </w:pPr>
      <w:r>
        <w:t xml:space="preserve">Totales de la cotización con costo total, utilidad total y margen global.</w:t>
      </w:r>
    </w:p>
    <w:p>
      <w:pPr>
        <w:pStyle w:val="ListParagraph"/>
        <w:numPr>
          <w:ilvl w:val="0"/>
          <w:numId w:val="2"/>
        </w:numPr>
        <w:spacing w:after="60"/>
      </w:pPr>
      <w:r>
        <w:t xml:space="preserve">Visibilidad de rentabilidad en tiempo real mientras se edita.</w:t>
      </w:r>
    </w:p>
    <w:p>
      <w:pPr>
        <w:pStyle w:val="Heading3"/>
      </w:pPr>
      <w:r>
        <w:t xml:space="preserve">Ajustes</w:t>
      </w:r>
    </w:p>
    <w:p>
      <w:pPr>
        <w:pStyle w:val="ListParagraph"/>
        <w:numPr>
          <w:ilvl w:val="0"/>
          <w:numId w:val="2"/>
        </w:numPr>
        <w:spacing w:after="60"/>
      </w:pPr>
      <w:r>
        <w:t xml:space="preserve">Ajuste por línea: cambiar precio o descuento de un ítem y ver el efecto en su margen.</w:t>
      </w:r>
    </w:p>
    <w:p>
      <w:pPr>
        <w:pStyle w:val="ListParagraph"/>
        <w:numPr>
          <w:ilvl w:val="0"/>
          <w:numId w:val="2"/>
        </w:numPr>
        <w:spacing w:after="60"/>
      </w:pPr>
      <w:r>
        <w:t xml:space="preserve">Ajuste global: aplicar un porcentaje o monto a toda la cotización, o fijar un margen objetivo y que el sistema recalcule los precios.</w:t>
      </w:r>
    </w:p>
    <w:p>
      <w:pPr>
        <w:pStyle w:val="Heading3"/>
      </w:pPr>
      <w:r>
        <w:t xml:space="preserve">Envío y proceso de venta</w:t>
      </w:r>
    </w:p>
    <w:p>
      <w:pPr>
        <w:pStyle w:val="ListParagraph"/>
        <w:numPr>
          <w:ilvl w:val="0"/>
          <w:numId w:val="2"/>
        </w:numPr>
        <w:spacing w:after="60"/>
      </w:pPr>
      <w:r>
        <w:t xml:space="preserve">Envío por email al cliente (con registro de fecha y destinatario), reutilizando el módulo de notificaciones.</w:t>
      </w:r>
    </w:p>
    <w:p>
      <w:pPr>
        <w:pStyle w:val="ListParagraph"/>
        <w:numPr>
          <w:ilvl w:val="0"/>
          <w:numId w:val="2"/>
        </w:numPr>
        <w:spacing w:after="60"/>
      </w:pPr>
      <w:r>
        <w:t xml:space="preserve">Estados: borrador, enviada, aceptada, rechazada, vencida y convertida; más una etapa del proceso de venta para seguimiento.</w:t>
      </w:r>
    </w:p>
    <w:p>
      <w:pPr>
        <w:pStyle w:val="ListParagraph"/>
        <w:numPr>
          <w:ilvl w:val="0"/>
          <w:numId w:val="2"/>
        </w:numPr>
        <w:spacing w:after="60"/>
      </w:pPr>
      <w:r>
        <w:t xml:space="preserve">Fecha de vigencia (válida hasta) y vencimiento automático.</w:t>
      </w:r>
    </w:p>
    <w:p>
      <w:pPr>
        <w:pStyle w:val="ListParagraph"/>
        <w:numPr>
          <w:ilvl w:val="0"/>
          <w:numId w:val="2"/>
        </w:numPr>
        <w:spacing w:after="60"/>
      </w:pPr>
      <w:r>
        <w:t xml:space="preserve">Origen desde una oportunidad/ticket de CRM y conversión a pedido con un clic.</w:t>
      </w:r>
    </w:p>
    <w:p>
      <w:pPr>
        <w:pStyle w:val="Heading3"/>
      </w:pPr>
      <w:r>
        <w:t xml:space="preserve">Reglas clave</w:t>
      </w:r>
    </w:p>
    <w:p>
      <w:pPr>
        <w:pStyle w:val="ListParagraph"/>
        <w:numPr>
          <w:ilvl w:val="0"/>
          <w:numId w:val="2"/>
        </w:numPr>
        <w:spacing w:after="60"/>
      </w:pPr>
      <w:r>
        <w:t xml:space="preserve">La cotización no afecta inventario ni contabilidad; solo el pedido/factura derivado lo hace.</w:t>
      </w:r>
    </w:p>
    <w:p>
      <w:pPr>
        <w:pStyle w:val="ListParagraph"/>
        <w:numPr>
          <w:ilvl w:val="0"/>
          <w:numId w:val="2"/>
        </w:numPr>
        <w:spacing w:after="60"/>
      </w:pPr>
      <w:r>
        <w:t xml:space="preserve">Los costos provienen del producto (costo promedio) para que el margen sea real.</w:t>
      </w:r>
    </w:p>
    <w:p>
      <w:pPr>
        <w:pStyle w:val="ListParagraph"/>
        <w:numPr>
          <w:ilvl w:val="0"/>
          <w:numId w:val="2"/>
        </w:numPr>
        <w:spacing w:after="60"/>
      </w:pPr>
      <w:r>
        <w:t xml:space="preserve">Al convertir, se enlazan cotización y pedido para trazabilidad.</w:t>
      </w:r>
    </w:p>
    <w:p>
      <w:pPr>
        <w:pStyle w:val="Heading2"/>
      </w:pPr>
      <w:r>
        <w:t xml:space="preserve">5.9 Importación de compras desde XML</w:t>
      </w:r>
    </w:p>
    <w:p>
      <w:pPr>
        <w:spacing w:after="120"/>
      </w:pPr>
      <w:r>
        <w:t xml:space="preserve">Permite cargar las compras a partir del XML de la factura electrónica del proveedor, evitando la captura manual y reduciendo errores. Se integra con la aceptación de comprobantes recibidos de Hacienda.</w:t>
      </w:r>
    </w:p>
    <w:p>
      <w:pPr>
        <w:pStyle w:val="Heading3"/>
      </w:pPr>
      <w:r>
        <w:t xml:space="preserve">Funcionalidades</w:t>
      </w:r>
    </w:p>
    <w:p>
      <w:pPr>
        <w:pStyle w:val="ListParagraph"/>
        <w:numPr>
          <w:ilvl w:val="0"/>
          <w:numId w:val="2"/>
        </w:numPr>
        <w:spacing w:after="60"/>
      </w:pPr>
      <w:r>
        <w:t xml:space="preserve">Carga del XML del comprobante del proveedor (individual o por lote) y extracción de sus líneas.</w:t>
      </w:r>
    </w:p>
    <w:p>
      <w:pPr>
        <w:pStyle w:val="ListParagraph"/>
        <w:numPr>
          <w:ilvl w:val="0"/>
          <w:numId w:val="2"/>
        </w:numPr>
        <w:spacing w:after="60"/>
      </w:pPr>
      <w:r>
        <w:t xml:space="preserve">Mapeo de cada ítem del proveedor a un producto del catálogo, con reglas reutilizables (código de proveedor o CAByS → producto).</w:t>
      </w:r>
    </w:p>
    <w:p>
      <w:pPr>
        <w:pStyle w:val="ListParagraph"/>
        <w:numPr>
          <w:ilvl w:val="0"/>
          <w:numId w:val="2"/>
        </w:numPr>
        <w:spacing w:after="60"/>
      </w:pPr>
      <w:r>
        <w:t xml:space="preserve">Generación automática de la orden de compra y/o la recepción de mercancía a partir del XML.</w:t>
      </w:r>
    </w:p>
    <w:p>
      <w:pPr>
        <w:pStyle w:val="ListParagraph"/>
        <w:numPr>
          <w:ilvl w:val="0"/>
          <w:numId w:val="2"/>
        </w:numPr>
        <w:spacing w:after="60"/>
      </w:pPr>
      <w:r>
        <w:t xml:space="preserve">Actualización de inventario y costo promedio al confirmar la importación.</w:t>
      </w:r>
    </w:p>
    <w:p>
      <w:pPr>
        <w:pStyle w:val="ListParagraph"/>
        <w:numPr>
          <w:ilvl w:val="0"/>
          <w:numId w:val="2"/>
        </w:numPr>
        <w:spacing w:after="60"/>
      </w:pPr>
      <w:r>
        <w:t xml:space="preserve">Estados de importación: pendiente, mapeado, importado, ignorado.</w:t>
      </w:r>
    </w:p>
    <w:p>
      <w:pPr>
        <w:pStyle w:val="Heading3"/>
      </w:pPr>
      <w:r>
        <w:t xml:space="preserve">Reglas clave</w:t>
      </w:r>
    </w:p>
    <w:p>
      <w:pPr>
        <w:pStyle w:val="ListParagraph"/>
        <w:numPr>
          <w:ilvl w:val="0"/>
          <w:numId w:val="2"/>
        </w:numPr>
        <w:spacing w:after="60"/>
      </w:pPr>
      <w:r>
        <w:t xml:space="preserve">Un mismo comprobante (clave única) no se importa dos veces.</w:t>
      </w:r>
    </w:p>
    <w:p>
      <w:pPr>
        <w:pStyle w:val="ListParagraph"/>
        <w:numPr>
          <w:ilvl w:val="0"/>
          <w:numId w:val="2"/>
        </w:numPr>
        <w:spacing w:after="60"/>
      </w:pPr>
      <w:r>
        <w:t xml:space="preserve">Las líneas sin producto mapeado quedan pendientes hasta resolver el mapeo; el resto puede importarse.</w:t>
      </w:r>
    </w:p>
    <w:p>
      <w:pPr>
        <w:pStyle w:val="ListParagraph"/>
        <w:numPr>
          <w:ilvl w:val="0"/>
          <w:numId w:val="2"/>
        </w:numPr>
        <w:spacing w:after="60"/>
      </w:pPr>
      <w:r>
        <w:t xml:space="preserve">La importación enlaza el comprobante recibido con la orden de compra generada para auditoría.</w:t>
      </w:r>
    </w:p>
    <w:p>
      <w:pPr>
        <w:pStyle w:val="Heading2"/>
      </w:pPr>
      <w:r>
        <w:t xml:space="preserve">5.10 CRM — Tickets (tablero tipo Trello)</w:t>
      </w:r>
    </w:p>
    <w:p>
      <w:pPr>
        <w:spacing w:after="120"/>
      </w:pPr>
      <w:r>
        <w:t xml:space="preserve">Para el servicio técnico a empresas (B2B), el CRM gestiona el trabajo mediante tickets en un tablero visual estilo Trello: columnas por etapa y tarjetas que se arrastran entre ellas. Un mismo modelo de ticket atiende cuatro tipos de trabajo, cada uno con sus campos propios.</w:t>
      </w:r>
    </w:p>
    <w:p>
      <w:pPr>
        <w:pStyle w:val="Heading3"/>
      </w:pPr>
      <w:r>
        <w:t xml:space="preserve">Tipos de ticket</w:t>
      </w:r>
    </w:p>
    <w:p>
      <w:pPr>
        <w:pStyle w:val="ListParagraph"/>
        <w:numPr>
          <w:ilvl w:val="0"/>
          <w:numId w:val="2"/>
        </w:numPr>
        <w:spacing w:after="60"/>
      </w:pPr>
      <w:r>
        <w:t xml:space="preserve">Oportunidad: prospección y venta; se enlaza con la oportunidad de CRM y puede generar una cotización.</w:t>
      </w:r>
    </w:p>
    <w:p>
      <w:pPr>
        <w:pStyle w:val="ListParagraph"/>
        <w:numPr>
          <w:ilvl w:val="0"/>
          <w:numId w:val="2"/>
        </w:numPr>
        <w:spacing w:after="60"/>
      </w:pPr>
      <w:r>
        <w:t xml:space="preserve">Soporte: incidencias de clientes con prioridad y SLA; si requiere reparación física, se enlaza con una orden de taller.</w:t>
      </w:r>
    </w:p>
    <w:p>
      <w:pPr>
        <w:pStyle w:val="ListParagraph"/>
        <w:numPr>
          <w:ilvl w:val="0"/>
          <w:numId w:val="2"/>
        </w:numPr>
        <w:spacing w:after="60"/>
      </w:pPr>
      <w:r>
        <w:t xml:space="preserve">Proyecto: trabajos con varias tareas, responsables, fechas y avance (%).</w:t>
      </w:r>
    </w:p>
    <w:p>
      <w:pPr>
        <w:pStyle w:val="ListParagraph"/>
        <w:numPr>
          <w:ilvl w:val="0"/>
          <w:numId w:val="2"/>
        </w:numPr>
        <w:spacing w:after="60"/>
      </w:pPr>
      <w:r>
        <w:t xml:space="preserve">Inventario-Tránsito: seguimiento de mercancía en camino (origen, transportista, guía, ETA y recepción), enlazable a una orden de compra.</w:t>
      </w:r>
    </w:p>
    <w:p>
      <w:pPr>
        <w:pStyle w:val="Heading3"/>
      </w:pPr>
      <w:r>
        <w:t xml:space="preserve">Funcionalidades</w:t>
      </w:r>
    </w:p>
    <w:p>
      <w:pPr>
        <w:pStyle w:val="ListParagraph"/>
        <w:numPr>
          <w:ilvl w:val="0"/>
          <w:numId w:val="2"/>
        </w:numPr>
        <w:spacing w:after="60"/>
      </w:pPr>
      <w:r>
        <w:t xml:space="preserve">Tablero kanban con múltiples embudos (pipelines) y etapas configurables por tipo de ticket.</w:t>
      </w:r>
    </w:p>
    <w:p>
      <w:pPr>
        <w:pStyle w:val="ListParagraph"/>
        <w:numPr>
          <w:ilvl w:val="0"/>
          <w:numId w:val="2"/>
        </w:numPr>
        <w:spacing w:after="60"/>
      </w:pPr>
      <w:r>
        <w:t xml:space="preserve">Tarjetas con empresa, contacto, responsable, prioridad y semáforo de SLA por tiempo.</w:t>
      </w:r>
    </w:p>
    <w:p>
      <w:pPr>
        <w:pStyle w:val="ListParagraph"/>
        <w:numPr>
          <w:ilvl w:val="0"/>
          <w:numId w:val="2"/>
        </w:numPr>
        <w:spacing w:after="60"/>
      </w:pPr>
      <w:r>
        <w:t xml:space="preserve">Conversación/bitácora por ticket, con notas internas y mensajes visibles al cliente.</w:t>
      </w:r>
    </w:p>
    <w:p>
      <w:pPr>
        <w:pStyle w:val="ListParagraph"/>
        <w:numPr>
          <w:ilvl w:val="0"/>
          <w:numId w:val="2"/>
        </w:numPr>
        <w:spacing w:after="60"/>
      </w:pPr>
      <w:r>
        <w:t xml:space="preserve">Tareas de proyecto con responsable, fechas y porcentaje de avance.</w:t>
      </w:r>
    </w:p>
    <w:p>
      <w:pPr>
        <w:pStyle w:val="ListParagraph"/>
        <w:numPr>
          <w:ilvl w:val="0"/>
          <w:numId w:val="2"/>
        </w:numPr>
        <w:spacing w:after="60"/>
      </w:pPr>
      <w:r>
        <w:t xml:space="preserve">Seguimiento de inventario en tránsito con estado (pendiente, en tránsito, aduanas, demorado, recibido).</w:t>
      </w:r>
    </w:p>
    <w:p>
      <w:pPr>
        <w:pStyle w:val="ListParagraph"/>
        <w:numPr>
          <w:ilvl w:val="0"/>
          <w:numId w:val="2"/>
        </w:numPr>
        <w:spacing w:after="60"/>
      </w:pPr>
      <w:r>
        <w:t xml:space="preserve">Historial de cambios de estado y asignación.</w:t>
      </w:r>
    </w:p>
    <w:p>
      <w:pPr>
        <w:pStyle w:val="Heading3"/>
      </w:pPr>
      <w:r>
        <w:t xml:space="preserve">Reglas clave</w:t>
      </w:r>
    </w:p>
    <w:p>
      <w:pPr>
        <w:pStyle w:val="ListParagraph"/>
        <w:numPr>
          <w:ilvl w:val="0"/>
          <w:numId w:val="2"/>
        </w:numPr>
        <w:spacing w:after="60"/>
      </w:pPr>
      <w:r>
        <w:t xml:space="preserve">El semáforo (verde/amarillo/rojo) prioriza visualmente los tickets de soporte según su SLA.</w:t>
      </w:r>
    </w:p>
    <w:p>
      <w:pPr>
        <w:pStyle w:val="ListParagraph"/>
        <w:numPr>
          <w:ilvl w:val="0"/>
          <w:numId w:val="2"/>
        </w:numPr>
        <w:spacing w:after="60"/>
      </w:pPr>
      <w:r>
        <w:t xml:space="preserve">Un ticket de soporte puede convertirse en orden de taller; uno de oportunidad, en cotización/pedido.</w:t>
      </w:r>
    </w:p>
    <w:p>
      <w:pPr>
        <w:pStyle w:val="ListParagraph"/>
        <w:numPr>
          <w:ilvl w:val="0"/>
          <w:numId w:val="2"/>
        </w:numPr>
        <w:spacing w:after="60"/>
      </w:pPr>
      <w:r>
        <w:t xml:space="preserve">El inventario en tránsito al recibirse alimenta la recepción de mercancía y el inventario.</w:t>
      </w:r>
    </w:p>
    <w:p>
      <w:pPr>
        <w:pStyle w:val="Heading1"/>
      </w:pPr>
      <w:r>
        <w:t xml:space="preserve">6. Modelo de datos</w:t>
      </w:r>
    </w:p>
    <w:p>
      <w:pPr>
        <w:spacing w:after="120"/>
      </w:pPr>
      <w:r>
        <w:t xml:space="preserve">El esquema completo se entrega en el archivo erp_schema.sql (PostgreSQL). Comprende las entidades organizadas por dominio que se resumen a continuación. Las claves foráneas garantizan la integridad referencial y la trazabilidad entre documentos.</w:t>
      </w:r>
    </w:p>
    <w:p>
      <w:pPr>
        <w:pStyle w:val="Heading2"/>
      </w:pPr>
      <w:r>
        <w:t xml:space="preserve">6.1 Entidades principales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Dominio</w:t>
            </w:r>
          </w:p>
        </w:tc>
        <w:tc>
          <w:tcPr>
            <w:tcW w:type="dxa" w:w="69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Tablas principales</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Núcleo y seguridad</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company, branch, app_user, role, permission, role_permission, user_role, audit_log</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Catálogos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currency, exchange_rate, tax, unit_of_measure</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Inventario</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product_category, product (+ campos web), product_image, warehouse, stock, stock_movement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Terceros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partner (clientes/proveedores), partner_contact</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Compras</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purchase_order, purchase_order_line, goods_receipt, goods_receipt_line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Cotizaciones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quotation, quotation_line</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Ventas y CRM</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crm_pipeline, crm_stage, crm_lead, crm_opportunity, crm_activity, sales_order, sales_order_line, invoice, invoice_line, payment, payment_allocation</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Importación de compras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received_document_line, supplier_product_map (+ campos en received_document)</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Canal web (tienda)</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web_customer, cart, cart_item, wishlist, web_project, web_service, web_banner (+ campos web en product)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CRM · Tickets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ticket, ticket_category, ticket_comment, ticket_status_history, project_task, inventory_transit, inventory_transit_line</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Bancos y POS</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bank_account, payment_method_config, cash_register, pos_session (+ campos en payment)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Cierre de caja</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cash_closing_line, cash_count_denomination, cash_movement (+ arqueo en pos_session)</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Vendedores y comisiones</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commission, customer_category (+ salesperson en pedidos/facturas, campos en app_user/partner)</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Devoluciones, ofertas y empaque</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sales_return, sales_return_line, promotion, promotion_product, dispatch_note, dispatch_note_line</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Inventario · ajustes</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department, inventory_adjustment, inventory_adjustment_line, product_price_history (+ campos en product)</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Contabilidad</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account, fiscal_period, journal_entry, journal_line</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Multimoneda / Precios</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price_list, price_list_item (precios por divisa); tipo de cambio e importes en moneda base en cada documento</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Seriales y Garantías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product_serial, warranty_claim, stock_movement_serial</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Taller / Servicio</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service_order, service_order_part, service_order_labor, service_status_history, service_order_log, service_appointment, service_sla_policy</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Notificaciones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notification_template, notification_message (WhatsApp/Email/SMS)</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Factura electrónica CR</w:t>
            </w:r>
          </w:p>
        </w:tc>
        <w:tc>
          <w:tcPr>
            <w:tcW w:type="dxa" w:w="69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cabys, economic_activity, company_activity, invoice_reference, hacienda_transmission, received_document (+ campos fiscales en invoice/invoice_line/payment)</w:t>
            </w:r>
          </w:p>
        </w:tc>
      </w:tr>
    </w:tbl>
    <w:p>
      <w:pPr>
        <w:pStyle w:val="Heading2"/>
      </w:pPr>
      <w:r>
        <w:t xml:space="preserve">6.2 Relaciones clave</w:t>
      </w:r>
    </w:p>
    <w:p>
      <w:pPr>
        <w:pStyle w:val="ListParagraph"/>
        <w:numPr>
          <w:ilvl w:val="0"/>
          <w:numId w:val="2"/>
        </w:numPr>
        <w:spacing w:after="60"/>
      </w:pPr>
      <w:r>
        <w:t xml:space="preserve">product 1—N stock_movement / stock, por almacén (warehouse).</w:t>
      </w:r>
    </w:p>
    <w:p>
      <w:pPr>
        <w:pStyle w:val="ListParagraph"/>
        <w:numPr>
          <w:ilvl w:val="0"/>
          <w:numId w:val="2"/>
        </w:numPr>
        <w:spacing w:after="60"/>
      </w:pPr>
      <w:r>
        <w:t xml:space="preserve">purchase_order 1—N purchase_order_line; goods_receipt registra la entrada real al inventario.</w:t>
      </w:r>
    </w:p>
    <w:p>
      <w:pPr>
        <w:pStyle w:val="ListParagraph"/>
        <w:numPr>
          <w:ilvl w:val="0"/>
          <w:numId w:val="2"/>
        </w:numPr>
        <w:spacing w:after="60"/>
      </w:pPr>
      <w:r>
        <w:t xml:space="preserve">sales_order 1—N sales_order_line; invoice 1—N invoice_line; payment_allocation enlaza payment ↔ invoice (N—N).</w:t>
      </w:r>
    </w:p>
    <w:p>
      <w:pPr>
        <w:pStyle w:val="ListParagraph"/>
        <w:numPr>
          <w:ilvl w:val="0"/>
          <w:numId w:val="2"/>
        </w:numPr>
        <w:spacing w:after="60"/>
      </w:pPr>
      <w:r>
        <w:t xml:space="preserve">journal_entry 1—N journal_line; cada línea referencia una cuenta (account) y opcionalmente un tercero (partner).</w:t>
      </w:r>
    </w:p>
    <w:p>
      <w:pPr>
        <w:pStyle w:val="ListParagraph"/>
        <w:numPr>
          <w:ilvl w:val="0"/>
          <w:numId w:val="2"/>
        </w:numPr>
        <w:spacing w:after="60"/>
      </w:pPr>
      <w:r>
        <w:t xml:space="preserve">partner unifica clientes y proveedores mediante el campo partner_type.</w:t>
      </w:r>
    </w:p>
    <w:p>
      <w:pPr>
        <w:pStyle w:val="ListParagraph"/>
        <w:numPr>
          <w:ilvl w:val="0"/>
          <w:numId w:val="2"/>
        </w:numPr>
        <w:spacing w:after="60"/>
      </w:pPr>
      <w:r>
        <w:t xml:space="preserve">Frontera ERP vs. tienda: el catálogo, precios, stock, pedidos y pagos son del dominio compartido del ERP (fuente única); la tienda solo posee sus datos propios (cuenta de cliente web, carrito, lista de deseos y contenido como proyectos/servicios/banners). web_customer es la cuenta pública, separada de app_user (personal interno).</w:t>
      </w:r>
    </w:p>
    <w:p>
      <w:pPr>
        <w:pStyle w:val="ListParagraph"/>
        <w:numPr>
          <w:ilvl w:val="0"/>
          <w:numId w:val="2"/>
        </w:numPr>
        <w:spacing w:after="60"/>
      </w:pPr>
      <w:r>
        <w:t xml:space="preserve">product_serial enlaza cada unidad con su recepción de entrada (goods_receipt_line) y su factura de salida (invoice_line); warranty_claim referencia el serial reclamado.</w:t>
      </w:r>
    </w:p>
    <w:p>
      <w:pPr>
        <w:pStyle w:val="ListParagraph"/>
        <w:numPr>
          <w:ilvl w:val="0"/>
          <w:numId w:val="2"/>
        </w:numPr>
        <w:spacing w:after="60"/>
      </w:pPr>
      <w:r>
        <w:t xml:space="preserve">price_list 1—N price_list_item permite precios distintos por moneda y por volumen.</w:t>
      </w:r>
    </w:p>
    <w:p>
      <w:pPr>
        <w:pStyle w:val="ListParagraph"/>
        <w:numPr>
          <w:ilvl w:val="0"/>
          <w:numId w:val="2"/>
        </w:numPr>
        <w:spacing w:after="60"/>
      </w:pPr>
      <w:r>
        <w:t xml:space="preserve">service_order enlaza con product_serial y warranty_claim (servicio por garantía), consume repuestos (service_order_part) y mano de obra (service_order_labor), y puede generar una factura (invoice).</w:t>
      </w:r>
    </w:p>
    <w:p>
      <w:pPr>
        <w:pStyle w:val="Heading2"/>
      </w:pPr>
      <w:r>
        <w:t xml:space="preserve">6.3 Convenciones del esquema</w:t>
      </w:r>
    </w:p>
    <w:p>
      <w:pPr>
        <w:pStyle w:val="ListParagraph"/>
        <w:numPr>
          <w:ilvl w:val="0"/>
          <w:numId w:val="2"/>
        </w:numPr>
        <w:spacing w:after="60"/>
      </w:pPr>
      <w:r>
        <w:t xml:space="preserve">Claves primarias BIGINT autoincrementales; importes y cantidades en NUMERIC(18,4).</w:t>
      </w:r>
    </w:p>
    <w:p>
      <w:pPr>
        <w:pStyle w:val="ListParagraph"/>
        <w:numPr>
          <w:ilvl w:val="0"/>
          <w:numId w:val="2"/>
        </w:numPr>
        <w:spacing w:after="60"/>
      </w:pPr>
      <w:r>
        <w:t xml:space="preserve">Auditoría temporal (created_at/updated_at) y borrado lógico (deleted_at) en entidades maestras.</w:t>
      </w:r>
    </w:p>
    <w:p>
      <w:pPr>
        <w:pStyle w:val="ListParagraph"/>
        <w:numPr>
          <w:ilvl w:val="0"/>
          <w:numId w:val="2"/>
        </w:numPr>
        <w:spacing w:after="60"/>
      </w:pPr>
      <w:r>
        <w:t xml:space="preserve">Importes multimoneda: cada documento guarda moneda, tipo de cambio e importe en moneda base; la contabilidad conserva moneda de origen y base.</w:t>
      </w:r>
    </w:p>
    <w:p>
      <w:pPr>
        <w:pStyle w:val="ListParagraph"/>
        <w:numPr>
          <w:ilvl w:val="0"/>
          <w:numId w:val="2"/>
        </w:numPr>
        <w:spacing w:after="60"/>
      </w:pPr>
      <w:r>
        <w:t xml:space="preserve">Vistas de apoyo incluidas: v_accounts_receivable (CxC por cliente), v_low_stock (productos bajo mínimo), v_serials_under_warranty (garantías vigentes), v_open_warranty_claims (reclamos abiertos), v_open_service_orders (órdenes de taller activas), v_hacienda_pending (comprobantes pendientes o rechazados por Hacienda), v_open_quotations (cotizaciones vigentes), v_pending_purchase_imports (compras por importar), v_service_order_semaphore (semáforo del taller), v_service_agenda (agenda de citas), v_ticket_board (tablero de tickets con semáforo), v_inventory_in_transit (mercancía en tránsito), v_quotation_margin (cotizaciones con margen), v_stock_minmax_alert (fuera de máx/mín), v_pending_inventory_adjustments (ajustes por confirmar), v_cash_closing_summary (cierres de caja) y v_web_catalog (catálogo publicado en la tienda).</w:t>
      </w:r>
    </w:p>
    <w:p>
      <w:pPr>
        <w:pStyle w:val="Heading1"/>
      </w:pPr>
      <w:r>
        <w:t xml:space="preserve">7. Roles y seguridad</w:t>
      </w:r>
    </w:p>
    <w:p>
      <w:pPr>
        <w:spacing w:after="120"/>
      </w:pPr>
      <w:r>
        <w:t xml:space="preserve">El control de acceso se basa en roles configurables compuestos por permisos atómicos. Roles sugeridos para arrancar: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Rol</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Alcance típico</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Administrador</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Acceso total, configuración del sistema, usuarios y catálogos.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Compras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Gestión de proveedores, órdenes de compra y recepciones.</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Ventas</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Clientes, CRM, pedidos y facturación.</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Contabilidad</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Asientos, cuentas, periodos y reportes financieros.</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Almacén</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Movimientos de inventario, ajustes y traspasos.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Técnico de taller</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Órdenes de servicio asignadas, diagnóstico, repuestos y mano de obra.</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Consulta</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Solo lectura de reportes y consultas.</w:t>
            </w:r>
          </w:p>
        </w:tc>
      </w:tr>
    </w:tbl>
    <w:p>
      <w:pPr>
        <w:pStyle w:val="Heading1"/>
      </w:pPr>
      <w:r>
        <w:t xml:space="preserve">8. Plan de trabajo y cronograma</w:t>
      </w:r>
    </w:p>
    <w:p>
      <w:pPr>
        <w:spacing w:after="120"/>
      </w:pPr>
      <w:r>
        <w:t xml:space="preserve">El desarrollo se organiza en cinco fases incrementales. Cada fase entrega funcionalidad utilizable y se valida con el negocio antes de avanzar. Las duraciones son estimaciones para un equipo pequeño (2–3 desarrolladores).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360"/>
        <w:gridCol w:w="19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Fase</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Entregable</w:t>
            </w:r>
          </w:p>
        </w:tc>
        <w:tc>
          <w:tcPr>
            <w:tcW w:type="dxa" w:w="3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Contenido principal</w:t>
            </w:r>
          </w:p>
        </w:tc>
        <w:tc>
          <w:tcPr>
            <w:tcW w:type="dxa" w:w="1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Duración est.</w:t>
            </w:r>
          </w:p>
        </w:tc>
      </w:tr>
      <w:tr>
        <w:trPr>
          <w:tblHeader w:val="false"/>
        </w:trPr>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Fundación</w:t>
            </w:r>
          </w:p>
        </w:tc>
        <w:tc>
          <w:tcPr>
            <w:tcW w:type="dxa" w:w="3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Núcleo, autenticación, multiempresa, roles/permisos, catálogos, base multimoneda (monedas y tipos de cambio), modelo de datos.</w:t>
            </w:r>
          </w:p>
        </w:tc>
        <w:tc>
          <w:tcPr>
            <w:tcW w:type="dxa" w:w="19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1.5–2 meses</w:t>
            </w:r>
          </w:p>
        </w:tc>
      </w:tr>
      <w:tr>
        <w:trPr>
          <w:tblHeader w:val="false"/>
        </w:trPr>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2</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Inventario y Compras</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Productos, almacenes, kardex, control de seriales y garantías, órdenes de compra, recepciones e importación de compras desde XML.</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2.5–3 meses</w:t>
            </w:r>
          </w:p>
        </w:tc>
      </w:tr>
      <w:tr>
        <w:trPr>
          <w:tblHeader w:val="false"/>
        </w:trPr>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3</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Cotizaciones, Ventas y CRM</w:t>
            </w:r>
          </w:p>
        </w:tc>
        <w:tc>
          <w:tcPr>
            <w:tcW w:type="dxa" w:w="3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Leads y embudos CRM, cotizaciones y su conversión, pedidos, facturación multimoneda, listas de precios, pagos.</w:t>
            </w:r>
          </w:p>
        </w:tc>
        <w:tc>
          <w:tcPr>
            <w:tcW w:type="dxa" w:w="19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2.5–3 meses</w:t>
            </w:r>
          </w:p>
        </w:tc>
      </w:tr>
      <w:tr>
        <w:trPr>
          <w:tblHeader w:val="false"/>
        </w:trPr>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4</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Taller / Servicio</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Órdenes de servicio, repuestos, mano de obra, flujo de estados, integración con garantías y facturación.</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1.5–2 meses</w:t>
            </w:r>
          </w:p>
        </w:tc>
      </w:tr>
      <w:tr>
        <w:trPr>
          <w:tblHeader w:val="false"/>
        </w:trPr>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5</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Contabilidad</w:t>
            </w:r>
          </w:p>
        </w:tc>
        <w:tc>
          <w:tcPr>
            <w:tcW w:type="dxa" w:w="3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Plan de cuentas, asientos automáticos, CxC/CxP, reportes.</w:t>
            </w:r>
          </w:p>
        </w:tc>
        <w:tc>
          <w:tcPr>
            <w:tcW w:type="dxa" w:w="19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2 meses</w:t>
            </w:r>
          </w:p>
        </w:tc>
      </w:tr>
      <w:tr>
        <w:trPr>
          <w:tblHeader w:val="false"/>
        </w:trPr>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6</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Factura electrónica CR</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Generación y firma de XML 4.4, integración con TRIBU-CR, CAByS, REP y aceptación de recibidos.</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1.5–2 meses</w:t>
            </w:r>
          </w:p>
        </w:tc>
      </w:tr>
      <w:tr>
        <w:trPr>
          <w:tblHeader w:val="false"/>
        </w:trPr>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7</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Migración y go-live</w:t>
            </w:r>
          </w:p>
        </w:tc>
        <w:tc>
          <w:tcPr>
            <w:tcW w:type="dxa" w:w="3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Migración de datos, reportes, capacitación, convivencia y salida a producción.</w:t>
            </w:r>
          </w:p>
        </w:tc>
        <w:tc>
          <w:tcPr>
            <w:tcW w:type="dxa" w:w="19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1.5–2 meses</w:t>
            </w:r>
          </w:p>
        </w:tc>
      </w:tr>
    </w:tbl>
    <w:p>
      <w:pPr>
        <w:spacing w:after="120" w:before="80"/>
      </w:pPr>
      <w:r>
        <w:rPr>
          <w:b/>
          <w:bCs/>
          <w:sz w:val="20"/>
          <w:szCs w:val="20"/>
        </w:rPr>
        <w:t xml:space="preserve">Total estimado: 13 a 17 meses hasta la primera versión productiva completa.</w:t>
      </w:r>
    </w:p>
    <w:p>
      <w:pPr>
        <w:pStyle w:val="Heading2"/>
      </w:pPr>
      <w:r>
        <w:t xml:space="preserve">8.1 Equipo recomendado</w:t>
      </w:r>
    </w:p>
    <w:p>
      <w:pPr>
        <w:pStyle w:val="ListParagraph"/>
        <w:numPr>
          <w:ilvl w:val="0"/>
          <w:numId w:val="2"/>
        </w:numPr>
        <w:spacing w:after="60"/>
      </w:pPr>
      <w:r>
        <w:t xml:space="preserve">1 Líder técnico / arquitecto (medio tiempo).</w:t>
      </w:r>
    </w:p>
    <w:p>
      <w:pPr>
        <w:pStyle w:val="ListParagraph"/>
        <w:numPr>
          <w:ilvl w:val="0"/>
          <w:numId w:val="2"/>
        </w:numPr>
        <w:spacing w:after="60"/>
      </w:pPr>
      <w:r>
        <w:t xml:space="preserve">2 Desarrolladores full-stack.</w:t>
      </w:r>
    </w:p>
    <w:p>
      <w:pPr>
        <w:pStyle w:val="ListParagraph"/>
        <w:numPr>
          <w:ilvl w:val="0"/>
          <w:numId w:val="2"/>
        </w:numPr>
        <w:spacing w:after="60"/>
      </w:pPr>
      <w:r>
        <w:t xml:space="preserve">1 Analista funcional / QA (puede ser compartido).</w:t>
      </w:r>
    </w:p>
    <w:p>
      <w:pPr>
        <w:pStyle w:val="ListParagraph"/>
        <w:numPr>
          <w:ilvl w:val="0"/>
          <w:numId w:val="2"/>
        </w:numPr>
        <w:spacing w:after="60"/>
      </w:pPr>
      <w:r>
        <w:t xml:space="preserve">Participación del negocio (dueño de producto) para validación continua.</w:t>
      </w:r>
    </w:p>
    <w:p>
      <w:pPr>
        <w:pStyle w:val="Heading1"/>
      </w:pPr>
      <w:r>
        <w:t xml:space="preserve">9.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Riesgo</w:t>
            </w:r>
          </w:p>
        </w:tc>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Impacto</w:t>
            </w:r>
          </w:p>
        </w:tc>
        <w:tc>
          <w:tcPr>
            <w:tcW w:type="dxa" w:w="3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Mitigación</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Levantamiento incompleto de procesos</w:t>
            </w:r>
          </w:p>
        </w:tc>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Alto</w:t>
            </w:r>
          </w:p>
        </w:tc>
        <w:tc>
          <w:tcPr>
            <w:tcW w:type="dxa" w:w="35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Fase 0 de análisis formal y validación con usuarios clave.</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Migración de datos con saldos incorrectos</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Alto</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Cargas de prueba, conciliación contable y periodo de convivencia.</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Alcance creciente (scope creep)</w:t>
            </w:r>
          </w:p>
        </w:tc>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Medio</w:t>
            </w:r>
          </w:p>
        </w:tc>
        <w:tc>
          <w:tcPr>
            <w:tcW w:type="dxa" w:w="35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Backlog priorizado y control de cambios por fase.</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Adopción/resistencia del usuario</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Medio</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Capacitación, UX cuidada y soporte durante el go-live.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Cambios en normativa de Hacienda</w:t>
            </w:r>
          </w:p>
        </w:tc>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Medio</w:t>
            </w:r>
          </w:p>
        </w:tc>
        <w:tc>
          <w:tcPr>
            <w:tcW w:type="dxa" w:w="35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Catálogos (CAByS, actividades) y disposiciones configurables; monitoreo de cambios v4.4 y validación contra documentación oficial.</w:t>
            </w:r>
          </w:p>
        </w:tc>
      </w:tr>
    </w:tbl>
    <w:p>
      <w:pPr>
        <w:pStyle w:val="Heading1"/>
      </w:pPr>
      <w:r>
        <w:t xml:space="preserve">10. Próximos pasos</w:t>
      </w:r>
    </w:p>
    <w:p>
      <w:pPr>
        <w:pStyle w:val="ListParagraph"/>
        <w:numPr>
          <w:ilvl w:val="0"/>
          <w:numId w:val="3"/>
        </w:numPr>
        <w:spacing w:after="60"/>
      </w:pPr>
      <w:r>
        <w:t xml:space="preserve">Validar el alcance y el stack tecnológico propuestos.</w:t>
      </w:r>
    </w:p>
    <w:p>
      <w:pPr>
        <w:pStyle w:val="ListParagraph"/>
        <w:numPr>
          <w:ilvl w:val="0"/>
          <w:numId w:val="3"/>
        </w:numPr>
        <w:spacing w:after="60"/>
      </w:pPr>
      <w:r>
        <w:t xml:space="preserve">Ejecutar la fase de levantamiento del sistema actual (sección 3).</w:t>
      </w:r>
    </w:p>
    <w:p>
      <w:pPr>
        <w:pStyle w:val="ListParagraph"/>
        <w:numPr>
          <w:ilvl w:val="0"/>
          <w:numId w:val="3"/>
        </w:numPr>
        <w:spacing w:after="60"/>
      </w:pPr>
      <w:r>
        <w:t xml:space="preserve">Aplicar el esquema erp_schema.sql en un entorno de desarrollo PostgreSQL.</w:t>
      </w:r>
    </w:p>
    <w:p>
      <w:pPr>
        <w:pStyle w:val="ListParagraph"/>
        <w:numPr>
          <w:ilvl w:val="0"/>
          <w:numId w:val="3"/>
        </w:numPr>
        <w:spacing w:after="60"/>
      </w:pPr>
      <w:r>
        <w:t xml:space="preserve">Desglosar la Fase 1 en historias de usuario y tareas.</w:t>
      </w:r>
    </w:p>
    <w:p>
      <w:pPr>
        <w:pStyle w:val="ListParagraph"/>
        <w:numPr>
          <w:ilvl w:val="0"/>
          <w:numId w:val="3"/>
        </w:numPr>
        <w:spacing w:after="60"/>
      </w:pPr>
      <w:r>
        <w:t xml:space="preserve">Definir entorno de desarrollo, repositorio y flujo de trabajo (CI/CD).</w:t>
      </w:r>
    </w:p>
    <w:p>
      <w:pPr>
        <w:spacing w:before="200"/>
      </w:pPr>
      <w:r>
        <w:rPr>
          <w:i/>
          <w:iCs/>
          <w:sz w:val="20"/>
          <w:szCs w:val="20"/>
        </w:rPr>
        <w:t xml:space="preserve">Anexo: el script completo de base de datos se entrega como archivo independiente erp_schema.sql.</w:t>
      </w:r>
    </w:p>
    <w:p>
      <w:r>
        <w:br w:type="page"/>
      </w:r>
    </w:p>
    <w:p>
      <w:pPr>
        <w:spacing w:after="60" w:before="2400"/>
        <w:jc w:val="center"/>
      </w:pPr>
      <w:r>
        <w:rPr>
          <w:b/>
          <w:bCs/>
          <w:color w:val="8A8A8A"/>
          <w:sz w:val="28"/>
          <w:szCs w:val="28"/>
        </w:rPr>
        <w:t xml:space="preserve">PARTE II</w:t>
      </w:r>
    </w:p>
    <w:p>
      <w:pPr>
        <w:pStyle w:val="Heading1"/>
        <w:jc w:val="center"/>
      </w:pPr>
      <w:r>
        <w:t xml:space="preserve">Microservicio de factura electrónica</w:t>
      </w:r>
    </w:p>
    <w:p>
      <w:pPr>
        <w:spacing w:after="200"/>
        <w:jc w:val="center"/>
      </w:pPr>
      <w:r>
        <w:rPr>
          <w:i/>
          <w:iCs/>
          <w:color w:val="555555"/>
          <w:sz w:val="22"/>
          <w:szCs w:val="22"/>
        </w:rPr>
        <w:t xml:space="preserve">Integración directa con Hacienda (v4.4 / TRIBU-CR)</w:t>
      </w:r>
    </w:p>
    <w:p>
      <w:r>
        <w:br w:type="page"/>
      </w:r>
    </w:p>
    <w:p>
      <w:pPr>
        <w:pStyle w:val="Heading1"/>
      </w:pPr>
      <w:r>
        <w:t xml:space="preserve">1. Objetivo y alcance</w:t>
      </w:r>
    </w:p>
    <w:p>
      <w:pPr>
        <w:spacing w:after="120"/>
      </w:pPr>
      <w:r>
        <w:t xml:space="preserve">Este documento especifica el microservicio fiscal que permitirá al ERP emitir y recibir comprobantes electrónicos válidos ante el Ministerio de Hacienda de Costa Rica mediante integración directa con su API (sin depender de un proveedor o pasarela externa). Corresponde a la implementación del “adaptador directo” descrito en el documento de proyecto.</w:t>
      </w:r>
    </w:p>
    <w:p>
      <w:pPr>
        <w:spacing w:after="120"/>
      </w:pPr>
      <w:r>
        <w:t xml:space="preserve">El microservicio se construye en el mismo lenguaje del backend del ERP y se despliega como un componente independiente con su propia base de datos de control (o esquema dedicado), de modo que un cambio en la normativa fiscal no obligue a tocar el resto del ERP.</w:t>
      </w:r>
    </w:p>
    <w:p>
      <w:pPr>
        <w:pStyle w:val="Heading2"/>
      </w:pPr>
      <w:r>
        <w:t xml:space="preserve">1.1 Cubre</w:t>
      </w:r>
    </w:p>
    <w:p>
      <w:pPr>
        <w:pStyle w:val="ListParagraph"/>
        <w:numPr>
          <w:ilvl w:val="0"/>
          <w:numId w:val="2"/>
        </w:numPr>
        <w:spacing w:after="60"/>
      </w:pPr>
      <w:r>
        <w:t xml:space="preserve">Generación del XML según el esquema versión 4.4 (FE, TE, NC, ND, FEC, FEE) y REP.</w:t>
      </w:r>
    </w:p>
    <w:p>
      <w:pPr>
        <w:pStyle w:val="ListParagraph"/>
        <w:numPr>
          <w:ilvl w:val="0"/>
          <w:numId w:val="2"/>
        </w:numPr>
        <w:spacing w:after="60"/>
      </w:pPr>
      <w:r>
        <w:t xml:space="preserve">Firma digital XAdES-EPES con la llave criptográfica (.p12) del contribuyente.</w:t>
      </w:r>
    </w:p>
    <w:p>
      <w:pPr>
        <w:pStyle w:val="ListParagraph"/>
        <w:numPr>
          <w:ilvl w:val="0"/>
          <w:numId w:val="2"/>
        </w:numPr>
        <w:spacing w:after="60"/>
      </w:pPr>
      <w:r>
        <w:t xml:space="preserve">Autenticación OAuth 2.0 / OpenID Connect contra el IdP de Hacienda.</w:t>
      </w:r>
    </w:p>
    <w:p>
      <w:pPr>
        <w:pStyle w:val="ListParagraph"/>
        <w:numPr>
          <w:ilvl w:val="0"/>
          <w:numId w:val="2"/>
        </w:numPr>
        <w:spacing w:after="60"/>
      </w:pPr>
      <w:r>
        <w:t xml:space="preserve">Transmisión a la API de recepción y consulta del estado (aceptado/rechazado).</w:t>
      </w:r>
    </w:p>
    <w:p>
      <w:pPr>
        <w:pStyle w:val="ListParagraph"/>
        <w:numPr>
          <w:ilvl w:val="0"/>
          <w:numId w:val="2"/>
        </w:numPr>
        <w:spacing w:after="60"/>
      </w:pPr>
      <w:r>
        <w:t xml:space="preserve">Modo contingencia, reintentos y bitácora de auditoría.</w:t>
      </w:r>
    </w:p>
    <w:p>
      <w:pPr>
        <w:pStyle w:val="ListParagraph"/>
        <w:numPr>
          <w:ilvl w:val="0"/>
          <w:numId w:val="2"/>
        </w:numPr>
        <w:spacing w:after="60"/>
      </w:pPr>
      <w:r>
        <w:t xml:space="preserve">Aceptación de comprobantes recibidos de proveedores (mensaje receptor).</w:t>
      </w:r>
    </w:p>
    <w:p>
      <w:pPr>
        <w:pStyle w:val="Heading2"/>
      </w:pPr>
      <w:r>
        <w:t xml:space="preserve">1.2 No cubre</w:t>
      </w:r>
    </w:p>
    <w:p>
      <w:pPr>
        <w:pStyle w:val="ListParagraph"/>
        <w:numPr>
          <w:ilvl w:val="0"/>
          <w:numId w:val="2"/>
        </w:numPr>
        <w:spacing w:after="60"/>
      </w:pPr>
      <w:r>
        <w:t xml:space="preserve">Lógica comercial del ERP (precios, inventario, contabilidad): vive en el ERP.</w:t>
      </w:r>
    </w:p>
    <w:p>
      <w:pPr>
        <w:pStyle w:val="ListParagraph"/>
        <w:numPr>
          <w:ilvl w:val="0"/>
          <w:numId w:val="2"/>
        </w:numPr>
        <w:spacing w:after="60"/>
      </w:pPr>
      <w:r>
        <w:t xml:space="preserve">Emisión de la representación gráfica (PDF), que puede generar el ERP a partir de los datos.</w:t>
      </w:r>
    </w:p>
    <w:p>
      <w:pPr>
        <w:pStyle w:val="ListParagraph"/>
        <w:numPr>
          <w:ilvl w:val="0"/>
          <w:numId w:val="2"/>
        </w:numPr>
        <w:spacing w:after="60"/>
      </w:pPr>
      <w:r>
        <w:t xml:space="preserve">Obtención de la llave .p12 (la emite el BCCR) ni el alta del usuario de API (se hace en TRIBU-CR).</w:t>
      </w:r>
    </w:p>
    <w:p>
      <w:pPr>
        <w:pStyle w:val="Heading1"/>
      </w:pPr>
      <w:r>
        <w:t xml:space="preserve">2. Principios de diseño</w:t>
      </w:r>
    </w:p>
    <w:p>
      <w:pPr>
        <w:pStyle w:val="ListParagraph"/>
        <w:numPr>
          <w:ilvl w:val="0"/>
          <w:numId w:val="2"/>
        </w:numPr>
        <w:spacing w:after="60"/>
      </w:pPr>
      <w:r>
        <w:t xml:space="preserve">Independencia: el ERP solo conoce el contrato de API del microservicio, nunca los detalles de Hacienda.</w:t>
      </w:r>
    </w:p>
    <w:p>
      <w:pPr>
        <w:pStyle w:val="ListParagraph"/>
        <w:numPr>
          <w:ilvl w:val="0"/>
          <w:numId w:val="2"/>
        </w:numPr>
        <w:spacing w:after="60"/>
      </w:pPr>
      <w:r>
        <w:t xml:space="preserve">Adaptador intercambiable: el canal (directo / proveedor) se selecciona por configuración; este documento detalla el directo.</w:t>
      </w:r>
    </w:p>
    <w:p>
      <w:pPr>
        <w:pStyle w:val="ListParagraph"/>
        <w:numPr>
          <w:ilvl w:val="0"/>
          <w:numId w:val="2"/>
        </w:numPr>
        <w:spacing w:after="60"/>
      </w:pPr>
      <w:r>
        <w:t xml:space="preserve">Idempotencia: emitir el mismo comprobante dos veces no genera duplicados (clave única).</w:t>
      </w:r>
    </w:p>
    <w:p>
      <w:pPr>
        <w:pStyle w:val="ListParagraph"/>
        <w:numPr>
          <w:ilvl w:val="0"/>
          <w:numId w:val="2"/>
        </w:numPr>
        <w:spacing w:after="60"/>
      </w:pPr>
      <w:r>
        <w:t xml:space="preserve">Asíncrono: la respuesta de Hacienda no es inmediata; se trabaja con estados y callbacks/polling.</w:t>
      </w:r>
    </w:p>
    <w:p>
      <w:pPr>
        <w:pStyle w:val="ListParagraph"/>
        <w:numPr>
          <w:ilvl w:val="0"/>
          <w:numId w:val="2"/>
        </w:numPr>
        <w:spacing w:after="60"/>
      </w:pPr>
      <w:r>
        <w:t xml:space="preserve">Multiempresa: cada empresa tiene su llave, credenciales y consecutivos independientes.</w:t>
      </w:r>
    </w:p>
    <w:p>
      <w:pPr>
        <w:pStyle w:val="ListParagraph"/>
        <w:numPr>
          <w:ilvl w:val="0"/>
          <w:numId w:val="2"/>
        </w:numPr>
        <w:spacing w:after="60"/>
      </w:pPr>
      <w:r>
        <w:t xml:space="preserve">Configurable: catálogos y disposiciones (CAByS, actividades, códigos) se administran como datos, no en código.</w:t>
      </w:r>
    </w:p>
    <w:p>
      <w:pPr>
        <w:pStyle w:val="Heading1"/>
      </w:pPr>
      <w:r>
        <w:t xml:space="preserve">3. Arquitectura del microservicio</w:t>
      </w:r>
    </w:p>
    <w:p>
      <w:pPr>
        <w:spacing w:after="120"/>
      </w:pPr>
      <w:r>
        <w:t xml:space="preserve">El microservicio se organiza en componentes internos con responsabilidades claras: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Componente</w:t>
            </w:r>
          </w:p>
        </w:tc>
        <w:tc>
          <w:tcPr>
            <w:tcW w:type="dxa" w:w="66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Responsabilidad</w:t>
            </w:r>
          </w:p>
        </w:tc>
      </w:tr>
      <w:tr>
        <w:trPr>
          <w:tblHeader w:val="false"/>
        </w:trPr>
        <w:tc>
          <w:tcPr>
            <w:tcW w:type="dxa" w:w="27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 Gateway (REST)</w:t>
            </w:r>
          </w:p>
        </w:tc>
        <w:tc>
          <w:tcPr>
            <w:tcW w:type="dxa" w:w="6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Expone el contrato hacia el ERP; valida entrada y autentica al ERP (API key/JWT interno).</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Generador XML</w:t>
            </w:r>
          </w:p>
        </w:tc>
        <w:tc>
          <w:tcPr>
            <w:tcW w:type="dxa" w:w="6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Construye el XML 4.4 a partir del payload, aplicando catálogos y reglas de negocio fiscal.</w:t>
            </w:r>
          </w:p>
        </w:tc>
      </w:tr>
      <w:tr>
        <w:trPr>
          <w:tblHeader w:val="false"/>
        </w:trPr>
        <w:tc>
          <w:tcPr>
            <w:tcW w:type="dxa" w:w="27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Generador de clave</w:t>
            </w:r>
          </w:p>
        </w:tc>
        <w:tc>
          <w:tcPr>
            <w:tcW w:type="dxa" w:w="6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Calcula la clave de 50 dígitos y el consecutivo de 20 dígitos.</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Firmador</w:t>
            </w:r>
          </w:p>
        </w:tc>
        <w:tc>
          <w:tcPr>
            <w:tcW w:type="dxa" w:w="6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Firma el XML con XAdES-EPES usando la llave .p12 de la empresa.</w:t>
            </w:r>
          </w:p>
        </w:tc>
      </w:tr>
      <w:tr>
        <w:trPr>
          <w:tblHeader w:val="false"/>
        </w:trPr>
        <w:tc>
          <w:tcPr>
            <w:tcW w:type="dxa" w:w="27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Cliente OAuth</w:t>
            </w:r>
          </w:p>
        </w:tc>
        <w:tc>
          <w:tcPr>
            <w:tcW w:type="dxa" w:w="6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Obtiene y renueva el token contra el IdP de Hacienda; lo cachea por empresa.</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Cliente Hacienda</w:t>
            </w:r>
          </w:p>
        </w:tc>
        <w:tc>
          <w:tcPr>
            <w:tcW w:type="dxa" w:w="6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Envía a la API de recepción y consulta el estado del comprobante.</w:t>
            </w:r>
          </w:p>
        </w:tc>
      </w:tr>
      <w:tr>
        <w:trPr>
          <w:tblHeader w:val="false"/>
        </w:trPr>
        <w:tc>
          <w:tcPr>
            <w:tcW w:type="dxa" w:w="27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Orquestador de estados</w:t>
            </w:r>
          </w:p>
        </w:tc>
        <w:tc>
          <w:tcPr>
            <w:tcW w:type="dxa" w:w="66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Máquina de estados, contingencia, reintentos y notificación al ERP (callback).</w:t>
            </w:r>
          </w:p>
        </w:tc>
      </w:tr>
      <w:tr>
        <w:trPr>
          <w:tblHeader w:val="false"/>
        </w:trPr>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Repositorio</w:t>
            </w:r>
          </w:p>
        </w:tc>
        <w:tc>
          <w:tcPr>
            <w:tcW w:type="dxa" w:w="6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Persistencia de comprobantes, transmisiones, llaves (cifradas) y bitácora.</w:t>
            </w:r>
          </w:p>
        </w:tc>
      </w:tr>
    </w:tbl>
    <w:p>
      <w:pPr>
        <w:pStyle w:val="Heading1"/>
      </w:pPr>
      <w:r>
        <w:t xml:space="preserve">4. Contrato de API (ERP ↔ microservicio)</w:t>
      </w:r>
    </w:p>
    <w:p>
      <w:pPr>
        <w:spacing w:after="120"/>
      </w:pPr>
      <w:r>
        <w:t xml:space="preserve">API REST/JSON. El ERP envía los datos del comprobante en un formato propio y estable; el microservicio se encarga de traducirlos al XML de Hacienda. Endpoints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Endpoint</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Método</w:t>
            </w:r>
          </w:p>
        </w:tc>
        <w:tc>
          <w:tcPr>
            <w:tcW w:type="dxa" w:w="48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Descripción</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/api/v1/comprobantes</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Emite un comprobante (FE, TE, NC, ND, etc.). Responde con la clave y estado inicial.</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/api/v1/comprobantes/{clave}</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Consulta el estado y la respuesta de Hacienda.</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/api/v1/comprobantes/{clave}/reintentar</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Fuerza reintento de firma/transmisión (contingencia).</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/api/v1/recibidos</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Registra un comprobante recibido de proveedor para su aceptación.</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/api/v1/recibidos/{clave}/aceptacion</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Envía el mensaje receptor (aceptado/parcial/rechazado).</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/api/v1/callbacks (config.)</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URL del ERP donde el microservicio notifica el resultado final.</w:t>
            </w:r>
          </w:p>
        </w:tc>
      </w:tr>
    </w:tbl>
    <w:p>
      <w:pPr>
        <w:pStyle w:val="Heading2"/>
      </w:pPr>
      <w:r>
        <w:t xml:space="preserve">4.1 Ejemplo — solicitud de emisión</w:t>
      </w:r>
    </w:p>
    <w:p>
      <w:pPr>
        <w:pBdr>
          <w:left w:val="single" w:color="1F4E79" w:sz="12" w:space="6"/>
        </w:pBdr>
        <w:shd w:fill="F4F4F2" w:val="clear"/>
        <w:spacing w:after="120" w:before="60"/>
      </w:pPr>
      <w:r>
        <w:rPr>
          <w:rFonts w:ascii="Consolas" w:cs="Consolas" w:eastAsia="Consolas" w:hAnsi="Consolas"/>
          <w:sz w:val="18"/>
          <w:szCs w:val="18"/>
        </w:rPr>
        <w:t xml:space="preserve">POST /api/v1/comprobantes</w:t>
      </w:r>
      <w:r>
        <w:rPr>
          <w:rFonts w:ascii="Consolas" w:cs="Consolas" w:eastAsia="Consolas" w:hAnsi="Consolas"/>
          <w:sz w:val="18"/>
          <w:szCs w:val="18"/>
        </w:rPr>
        <w:br/>
        <w:t xml:space="preserve">{</w:t>
      </w:r>
      <w:r>
        <w:rPr>
          <w:rFonts w:ascii="Consolas" w:cs="Consolas" w:eastAsia="Consolas" w:hAnsi="Consolas"/>
          <w:sz w:val="18"/>
          <w:szCs w:val="18"/>
        </w:rPr>
        <w:br/>
        <w:t xml:space="preserve">  "empresaId": 1,</w:t>
      </w:r>
      <w:r>
        <w:rPr>
          <w:rFonts w:ascii="Consolas" w:cs="Consolas" w:eastAsia="Consolas" w:hAnsi="Consolas"/>
          <w:sz w:val="18"/>
          <w:szCs w:val="18"/>
        </w:rPr>
        <w:br/>
        <w:t xml:space="preserve">  "tipo": "FE",</w:t>
      </w:r>
      <w:r>
        <w:rPr>
          <w:rFonts w:ascii="Consolas" w:cs="Consolas" w:eastAsia="Consolas" w:hAnsi="Consolas"/>
          <w:sz w:val="18"/>
          <w:szCs w:val="18"/>
        </w:rPr>
        <w:br/>
        <w:t xml:space="preserve">  "condicionVenta": "01",        // 01 contado, 02 crédito</w:t>
      </w:r>
      <w:r>
        <w:rPr>
          <w:rFonts w:ascii="Consolas" w:cs="Consolas" w:eastAsia="Consolas" w:hAnsi="Consolas"/>
          <w:sz w:val="18"/>
          <w:szCs w:val="18"/>
        </w:rPr>
        <w:br/>
        <w:t xml:space="preserve">  "medioPago": ["01"],           // 01 efectivo, 02 tarjeta...</w:t>
      </w:r>
      <w:r>
        <w:rPr>
          <w:rFonts w:ascii="Consolas" w:cs="Consolas" w:eastAsia="Consolas" w:hAnsi="Consolas"/>
          <w:sz w:val="18"/>
          <w:szCs w:val="18"/>
        </w:rPr>
        <w:br/>
        <w:t xml:space="preserve">  "moneda": "USD",</w:t>
      </w:r>
      <w:r>
        <w:rPr>
          <w:rFonts w:ascii="Consolas" w:cs="Consolas" w:eastAsia="Consolas" w:hAnsi="Consolas"/>
          <w:sz w:val="18"/>
          <w:szCs w:val="18"/>
        </w:rPr>
        <w:br/>
        <w:t xml:space="preserve">  "tipoCambio": 510.25,</w:t>
      </w:r>
      <w:r>
        <w:rPr>
          <w:rFonts w:ascii="Consolas" w:cs="Consolas" w:eastAsia="Consolas" w:hAnsi="Consolas"/>
          <w:sz w:val="18"/>
          <w:szCs w:val="18"/>
        </w:rPr>
        <w:br/>
        <w:t xml:space="preserve">  "emisorActividad": "620100",</w:t>
      </w:r>
      <w:r>
        <w:rPr>
          <w:rFonts w:ascii="Consolas" w:cs="Consolas" w:eastAsia="Consolas" w:hAnsi="Consolas"/>
          <w:sz w:val="18"/>
          <w:szCs w:val="18"/>
        </w:rPr>
        <w:br/>
        <w:t xml:space="preserve">  "receptor": {</w:t>
      </w:r>
      <w:r>
        <w:rPr>
          <w:rFonts w:ascii="Consolas" w:cs="Consolas" w:eastAsia="Consolas" w:hAnsi="Consolas"/>
          <w:sz w:val="18"/>
          <w:szCs w:val="18"/>
        </w:rPr>
        <w:br/>
        <w:t xml:space="preserve">    "tipoIdentificacion": "02",  // 01 física, 02 jurídica</w:t>
      </w:r>
      <w:r>
        <w:rPr>
          <w:rFonts w:ascii="Consolas" w:cs="Consolas" w:eastAsia="Consolas" w:hAnsi="Consolas"/>
          <w:sz w:val="18"/>
          <w:szCs w:val="18"/>
        </w:rPr>
        <w:br/>
        <w:t xml:space="preserve">    "numeroIdentificacion": "3101123456",</w:t>
      </w:r>
      <w:r>
        <w:rPr>
          <w:rFonts w:ascii="Consolas" w:cs="Consolas" w:eastAsia="Consolas" w:hAnsi="Consolas"/>
          <w:sz w:val="18"/>
          <w:szCs w:val="18"/>
        </w:rPr>
        <w:br/>
        <w:t xml:space="preserve">    "actividadEconomica": "461000",</w:t>
      </w:r>
      <w:r>
        <w:rPr>
          <w:rFonts w:ascii="Consolas" w:cs="Consolas" w:eastAsia="Consolas" w:hAnsi="Consolas"/>
          <w:sz w:val="18"/>
          <w:szCs w:val="18"/>
        </w:rPr>
        <w:br/>
        <w:t xml:space="preserve">    "nombre": "Tech Solutions S.A.",</w:t>
      </w:r>
      <w:r>
        <w:rPr>
          <w:rFonts w:ascii="Consolas" w:cs="Consolas" w:eastAsia="Consolas" w:hAnsi="Consolas"/>
          <w:sz w:val="18"/>
          <w:szCs w:val="18"/>
        </w:rPr>
        <w:br/>
        <w:t xml:space="preserve">    "correo": "pagos@techsol.cr"</w:t>
      </w:r>
      <w:r>
        <w:rPr>
          <w:rFonts w:ascii="Consolas" w:cs="Consolas" w:eastAsia="Consolas" w:hAnsi="Consolas"/>
          <w:sz w:val="18"/>
          <w:szCs w:val="18"/>
        </w:rPr>
        <w:br/>
        <w:t xml:space="preserve">  },</w:t>
      </w:r>
      <w:r>
        <w:rPr>
          <w:rFonts w:ascii="Consolas" w:cs="Consolas" w:eastAsia="Consolas" w:hAnsi="Consolas"/>
          <w:sz w:val="18"/>
          <w:szCs w:val="18"/>
        </w:rPr>
        <w:br/>
        <w:t xml:space="preserve">  "lineas": [</w:t>
      </w:r>
      <w:r>
        <w:rPr>
          <w:rFonts w:ascii="Consolas" w:cs="Consolas" w:eastAsia="Consolas" w:hAnsi="Consolas"/>
          <w:sz w:val="18"/>
          <w:szCs w:val="18"/>
        </w:rPr>
        <w:br/>
        <w:t xml:space="preserve">    { "cabys": "8311100000000", "detalle": "Laptop Pro 14",</w:t>
      </w:r>
      <w:r>
        <w:rPr>
          <w:rFonts w:ascii="Consolas" w:cs="Consolas" w:eastAsia="Consolas" w:hAnsi="Consolas"/>
          <w:sz w:val="18"/>
          <w:szCs w:val="18"/>
        </w:rPr>
        <w:br/>
        <w:t xml:space="preserve">      "cantidad": 1, "unidad": "Unid", "precioUnitario": 899.00,</w:t>
      </w:r>
      <w:r>
        <w:rPr>
          <w:rFonts w:ascii="Consolas" w:cs="Consolas" w:eastAsia="Consolas" w:hAnsi="Consolas"/>
          <w:sz w:val="18"/>
          <w:szCs w:val="18"/>
        </w:rPr>
        <w:br/>
        <w:t xml:space="preserve">      "descuento": 0, "impuesto": { "codigo": "01", "tarifa": 13 } }</w:t>
      </w:r>
      <w:r>
        <w:rPr>
          <w:rFonts w:ascii="Consolas" w:cs="Consolas" w:eastAsia="Consolas" w:hAnsi="Consolas"/>
          <w:sz w:val="18"/>
          <w:szCs w:val="18"/>
        </w:rPr>
        <w:br/>
        <w:t xml:space="preserve">  ],</w:t>
      </w:r>
      <w:r>
        <w:rPr>
          <w:rFonts w:ascii="Consolas" w:cs="Consolas" w:eastAsia="Consolas" w:hAnsi="Consolas"/>
          <w:sz w:val="18"/>
          <w:szCs w:val="18"/>
        </w:rPr>
        <w:br/>
        <w:t xml:space="preserve">  "referencias": []               // requerido en NC/ND</w:t>
      </w:r>
      <w:r>
        <w:rPr>
          <w:rFonts w:ascii="Consolas" w:cs="Consolas" w:eastAsia="Consolas" w:hAnsi="Consolas"/>
          <w:sz w:val="18"/>
          <w:szCs w:val="18"/>
        </w:rPr>
        <w:br/>
        <w:t xml:space="preserve">}</w:t>
      </w:r>
    </w:p>
    <w:p>
      <w:pPr>
        <w:pStyle w:val="Heading2"/>
      </w:pPr>
      <w:r>
        <w:t xml:space="preserve">4.2 Ejemplo — respuesta</w:t>
      </w:r>
    </w:p>
    <w:p>
      <w:pPr>
        <w:pBdr>
          <w:left w:val="single" w:color="1F4E79" w:sz="12" w:space="6"/>
        </w:pBdr>
        <w:shd w:fill="F4F4F2" w:val="clear"/>
        <w:spacing w:after="120" w:before="60"/>
      </w:pPr>
      <w:r>
        <w:rPr>
          <w:rFonts w:ascii="Consolas" w:cs="Consolas" w:eastAsia="Consolas" w:hAnsi="Consolas"/>
          <w:sz w:val="18"/>
          <w:szCs w:val="18"/>
        </w:rPr>
        <w:t xml:space="preserve">200 OK</w:t>
      </w:r>
      <w:r>
        <w:rPr>
          <w:rFonts w:ascii="Consolas" w:cs="Consolas" w:eastAsia="Consolas" w:hAnsi="Consolas"/>
          <w:sz w:val="18"/>
          <w:szCs w:val="18"/>
        </w:rPr>
        <w:br/>
        <w:t xml:space="preserve">{</w:t>
      </w:r>
      <w:r>
        <w:rPr>
          <w:rFonts w:ascii="Consolas" w:cs="Consolas" w:eastAsia="Consolas" w:hAnsi="Consolas"/>
          <w:sz w:val="18"/>
          <w:szCs w:val="18"/>
        </w:rPr>
        <w:br/>
        <w:t xml:space="preserve">  "clave": "50601...8" ,          // 50 dígitos</w:t>
      </w:r>
      <w:r>
        <w:rPr>
          <w:rFonts w:ascii="Consolas" w:cs="Consolas" w:eastAsia="Consolas" w:hAnsi="Consolas"/>
          <w:sz w:val="18"/>
          <w:szCs w:val="18"/>
        </w:rPr>
        <w:br/>
        <w:t xml:space="preserve">  "consecutivo": "00100001010000000123",</w:t>
      </w:r>
      <w:r>
        <w:rPr>
          <w:rFonts w:ascii="Consolas" w:cs="Consolas" w:eastAsia="Consolas" w:hAnsi="Consolas"/>
          <w:sz w:val="18"/>
          <w:szCs w:val="18"/>
        </w:rPr>
        <w:br/>
        <w:t xml:space="preserve">  "estado": "SENT",               // PENDING|SIGNED|SENT|ACCEPTED|REJECTED|PARTIAL</w:t>
      </w:r>
      <w:r>
        <w:rPr>
          <w:rFonts w:ascii="Consolas" w:cs="Consolas" w:eastAsia="Consolas" w:hAnsi="Consolas"/>
          <w:sz w:val="18"/>
          <w:szCs w:val="18"/>
        </w:rPr>
        <w:br/>
        <w:t xml:space="preserve">  "xmlFirmadoUrl": "/storage/.../firmado.xml"</w:t>
      </w:r>
      <w:r>
        <w:rPr>
          <w:rFonts w:ascii="Consolas" w:cs="Consolas" w:eastAsia="Consolas" w:hAnsi="Consolas"/>
          <w:sz w:val="18"/>
          <w:szCs w:val="18"/>
        </w:rPr>
        <w:br/>
        <w:t xml:space="preserve">}</w:t>
      </w:r>
    </w:p>
    <w:p>
      <w:pPr>
        <w:pStyle w:val="Heading1"/>
      </w:pPr>
      <w:r>
        <w:t xml:space="preserve">5. Clave numérica (50) y consecutivo (20)</w:t>
      </w:r>
    </w:p>
    <w:p>
      <w:pPr>
        <w:spacing w:after="120"/>
      </w:pPr>
      <w:r>
        <w:t xml:space="preserve">El microservicio genera ambos identificadores. La clave de 50 dígitos se compone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Segmento</w:t>
            </w:r>
          </w:p>
        </w:tc>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Dígitos</w:t>
            </w:r>
          </w:p>
        </w:tc>
        <w:tc>
          <w:tcPr>
            <w:tcW w:type="dxa" w:w="4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Contenido</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País</w:t>
            </w:r>
          </w:p>
        </w:tc>
        <w:tc>
          <w:tcPr>
            <w:tcW w:type="dxa" w:w="1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3</w:t>
            </w:r>
          </w:p>
        </w:tc>
        <w:tc>
          <w:tcPr>
            <w:tcW w:type="dxa" w:w="4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506 (Costa Rica)</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Fecha</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6</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Día, mes y año de emisión (DDMMAA)</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Cédula emisor</w:t>
            </w:r>
          </w:p>
        </w:tc>
        <w:tc>
          <w:tcPr>
            <w:tcW w:type="dxa" w:w="1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12</w:t>
            </w:r>
          </w:p>
        </w:tc>
        <w:tc>
          <w:tcPr>
            <w:tcW w:type="dxa" w:w="4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Identificación del emisor, alineada con ceros a la izquierda</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Consecutivo</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20</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El número consecutivo del comprobante (ver abajo)</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Situación</w:t>
            </w:r>
          </w:p>
        </w:tc>
        <w:tc>
          <w:tcPr>
            <w:tcW w:type="dxa" w:w="1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w:t>
            </w:r>
          </w:p>
        </w:tc>
        <w:tc>
          <w:tcPr>
            <w:tcW w:type="dxa" w:w="4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 normal, 2 contingencia, 3 sin internet</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Código seguridad</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8</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Aleatorio de 8 dígitos por comprobante</w:t>
            </w:r>
          </w:p>
        </w:tc>
      </w:tr>
    </w:tbl>
    <w:p>
      <w:pPr>
        <w:spacing w:after="120"/>
      </w:pPr>
      <w:r>
        <w:t xml:space="preserve">El consecutivo de 20 dígitos se estructura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Segmento</w:t>
            </w:r>
          </w:p>
        </w:tc>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Dígitos</w:t>
            </w:r>
          </w:p>
        </w:tc>
        <w:tc>
          <w:tcPr>
            <w:tcW w:type="dxa" w:w="4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Contenido</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Sucursal</w:t>
            </w:r>
          </w:p>
        </w:tc>
        <w:tc>
          <w:tcPr>
            <w:tcW w:type="dxa" w:w="1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3</w:t>
            </w:r>
          </w:p>
        </w:tc>
        <w:tc>
          <w:tcPr>
            <w:tcW w:type="dxa" w:w="4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001 casa matriz; 002+ sucursales</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Terminal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5</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Punto de venta / terminal de emisión</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Tipo comprobante</w:t>
            </w:r>
          </w:p>
        </w:tc>
        <w:tc>
          <w:tcPr>
            <w:tcW w:type="dxa" w:w="1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2</w:t>
            </w:r>
          </w:p>
        </w:tc>
        <w:tc>
          <w:tcPr>
            <w:tcW w:type="dxa" w:w="4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01 FE, 02 ND, 03 NC, 04 TE, 08 FEC, 09 FEE...</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Secuencia</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10</w:t>
            </w:r>
          </w:p>
        </w:tc>
        <w:tc>
          <w:tcPr>
            <w:tcW w:type="dxa" w:w="4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Consecutivo correlativo por sucursal/terminal/tipo</w:t>
            </w:r>
          </w:p>
        </w:tc>
      </w:tr>
    </w:tbl>
    <w:p>
      <w:pPr>
        <w:spacing w:after="120"/>
      </w:pPr>
      <w:r>
        <w:t xml:space="preserve">La secuencia se administra de forma atómica por (empresa, sucursal, terminal, tipo) para evitar saltos o duplicados; conviene un bloqueo a nivel de base de datos o una secuencia dedicada.</w:t>
      </w:r>
    </w:p>
    <w:p>
      <w:pPr>
        <w:pStyle w:val="Heading1"/>
      </w:pPr>
      <w:r>
        <w:t xml:space="preserve">6. Estructura del XML 4.4</w:t>
      </w:r>
    </w:p>
    <w:p>
      <w:pPr>
        <w:spacing w:after="120"/>
      </w:pPr>
      <w:r>
        <w:t xml:space="preserve">Cada tipo de comprobante tiene su propio esquema XSD (por ejemplo FacturaElectronica_V4.4.xsd) y su espacio de nombres. El generador debe validar contra el XSD oficial antes de firmar. Nodos principales de una Factura Electrónica: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Nodo</w:t>
            </w:r>
          </w:p>
        </w:tc>
        <w:tc>
          <w:tcPr>
            <w:tcW w:type="dxa" w:w="6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Contenido</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Clave</w:t>
            </w:r>
          </w:p>
        </w:tc>
        <w:tc>
          <w:tcPr>
            <w:tcW w:type="dxa" w:w="6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Clave numérica de 50 dígitos</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ProveedorSistemas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Identificación del emisor del sistema (si aplica)</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CodigoActividadEmisor / Receptor</w:t>
            </w:r>
          </w:p>
        </w:tc>
        <w:tc>
          <w:tcPr>
            <w:tcW w:type="dxa" w:w="6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Actividad económica CIIU 4</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NumeroConsecutivo</w:t>
            </w:r>
          </w:p>
        </w:tc>
        <w:tc>
          <w:tcPr>
            <w:tcW w:type="dxa" w:w="6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Consecutivo de 20 dígitos</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FechaEmision</w:t>
            </w:r>
          </w:p>
        </w:tc>
        <w:tc>
          <w:tcPr>
            <w:tcW w:type="dxa" w:w="6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Fecha/hora RFC 3339 (yyyy-MM-ddTHH:mm:ssZ)</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Emisor / Receptor</w:t>
            </w:r>
          </w:p>
        </w:tc>
        <w:tc>
          <w:tcPr>
            <w:tcW w:type="dxa" w:w="6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Identificación, nombre, ubicación (provincia, cantón, distrito, barrio), correo</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CondicionVenta / PlazoCredito</w:t>
            </w:r>
          </w:p>
        </w:tc>
        <w:tc>
          <w:tcPr>
            <w:tcW w:type="dxa" w:w="6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Contado/crédito y plazo</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DetalleServicio &gt; LineaDetalle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Líneas con código CAByS, cantidad, unidad, precio, descuento e impuesto</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DetalleProductosSurtido</w:t>
            </w:r>
          </w:p>
        </w:tc>
        <w:tc>
          <w:tcPr>
            <w:tcW w:type="dxa" w:w="6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Nuevo en 4.4: desglose de combos/surtidos</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ResumenFactura</w:t>
            </w:r>
          </w:p>
        </w:tc>
        <w:tc>
          <w:tcPr>
            <w:tcW w:type="dxa" w:w="6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Totales por gravado/exento, impuestos, descuentos y total</w:t>
            </w:r>
          </w:p>
        </w:tc>
      </w:tr>
      <w:tr>
        <w:trPr>
          <w:tblHeader w:val="false"/>
        </w:trPr>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Normativa</w:t>
            </w:r>
          </w:p>
        </w:tc>
        <w:tc>
          <w:tcPr>
            <w:tcW w:type="dxa" w:w="63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Resolución y fecha de la normativa vigente</w:t>
            </w:r>
          </w:p>
        </w:tc>
      </w:tr>
      <w:tr>
        <w:trPr>
          <w:tblHeader w:val="false"/>
        </w:trPr>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Otros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Información adicional opcional</w:t>
            </w:r>
          </w:p>
        </w:tc>
      </w:tr>
    </w:tbl>
    <w:p>
      <w:pPr>
        <w:spacing w:after="120"/>
      </w:pPr>
      <w:r>
        <w:rPr>
          <w:i/>
          <w:iCs/>
          <w:sz w:val="20"/>
          <w:szCs w:val="20"/>
        </w:rPr>
        <w:t xml:space="preserve">Importante: la versión 4.4 incorpora el nodo de desglose de combos/surtidos, los códigos de actividad del receptor y la división territorial. El XSD oficial es la fuente de verdad y debe versionarse en el repositorio.</w:t>
      </w:r>
    </w:p>
    <w:p>
      <w:pPr>
        <w:pStyle w:val="Heading1"/>
      </w:pPr>
      <w:r>
        <w:t xml:space="preserve">7. Firma digital (XAdES-EPES)</w:t>
      </w:r>
    </w:p>
    <w:p>
      <w:pPr>
        <w:spacing w:after="120"/>
      </w:pPr>
      <w:r>
        <w:t xml:space="preserve">El XML se firma con el estándar XAdES-EPES (XML Advanced Electronic Signature con política de firma explícita), usando la llave criptográfica .p12 emitida por el BCCR a nombre del contribuyente. Pasos:</w:t>
      </w:r>
    </w:p>
    <w:p>
      <w:pPr>
        <w:pStyle w:val="ListParagraph"/>
        <w:numPr>
          <w:ilvl w:val="0"/>
          <w:numId w:val="3"/>
        </w:numPr>
        <w:spacing w:after="60"/>
      </w:pPr>
      <w:r>
        <w:t xml:space="preserve">Cargar el certificado .p12 y su clave (desde un almacén cifrado / KMS).</w:t>
      </w:r>
    </w:p>
    <w:p>
      <w:pPr>
        <w:pStyle w:val="ListParagraph"/>
        <w:numPr>
          <w:ilvl w:val="0"/>
          <w:numId w:val="3"/>
        </w:numPr>
        <w:spacing w:after="60"/>
      </w:pPr>
      <w:r>
        <w:t xml:space="preserve">Canonicalizar el XML y calcular los digests de las referencias.</w:t>
      </w:r>
    </w:p>
    <w:p>
      <w:pPr>
        <w:pStyle w:val="ListParagraph"/>
        <w:numPr>
          <w:ilvl w:val="0"/>
          <w:numId w:val="3"/>
        </w:numPr>
        <w:spacing w:after="60"/>
      </w:pPr>
      <w:r>
        <w:t xml:space="preserve">Incluir las propiedades firmadas de XAdES: SigningTime, SigningCertificate y SignaturePolicyIdentifier (política de Hacienda).</w:t>
      </w:r>
    </w:p>
    <w:p>
      <w:pPr>
        <w:pStyle w:val="ListParagraph"/>
        <w:numPr>
          <w:ilvl w:val="0"/>
          <w:numId w:val="3"/>
        </w:numPr>
        <w:spacing w:after="60"/>
      </w:pPr>
      <w:r>
        <w:t xml:space="preserve">Firmar con algoritmo RSA-SHA256 y empotrar la firma (enveloped) en el XML.</w:t>
      </w:r>
    </w:p>
    <w:p>
      <w:pPr>
        <w:pStyle w:val="ListParagraph"/>
        <w:numPr>
          <w:ilvl w:val="0"/>
          <w:numId w:val="3"/>
        </w:numPr>
        <w:spacing w:after="60"/>
      </w:pPr>
      <w:r>
        <w:t xml:space="preserve">Validar la firma y el XML contra el XSD antes de transmitir.</w:t>
      </w:r>
    </w:p>
    <w:p>
      <w:pPr>
        <w:spacing w:after="120"/>
      </w:pPr>
      <w:r>
        <w:t xml:space="preserve">Librerías sugeridas según el lenguaje del backend: en Node.js, xml-crypto y node-forge (o xadesjs); en Python, lxml con xmlsec o la librería signxml. La política de firma y la cadena de confianza del BCCR deben mantenerse actualizadas.</w:t>
      </w:r>
    </w:p>
    <w:p>
      <w:pPr>
        <w:pStyle w:val="Heading1"/>
      </w:pPr>
      <w:r>
        <w:t xml:space="preserve">8. Autenticación con Hacienda (OAuth2 / OIDC)</w:t>
      </w:r>
    </w:p>
    <w:p>
      <w:pPr>
        <w:spacing w:after="120"/>
      </w:pPr>
      <w:r>
        <w:t xml:space="preserve">Hacienda usa OpenID Connect sobre OAuth 2.0 a través de un IdP (Keycloak). El microservicio obtiene un token de acceso con las credenciales del usuario de API de cada empresa y lo renueva antes de expirar.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Parámetro</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Valor / nota</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Token endpoint (stag)</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https://idp.comprobanteselectronicos.go.cr/auth/realms/rut-stag/protocol/openid-connect/token</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Token endpoint (prod)</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…/auth/realms/rut/protocol/openid-connect/token</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grant_type</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password (usuario de API) + refresh_token para renovar</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client_id</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api-stag (pruebas) / api-prod (producción)</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Credenciales</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usuario y contraseña de API generados por la empresa en TRIBU-CR</w:t>
            </w:r>
          </w:p>
        </w:tc>
      </w:tr>
    </w:tbl>
    <w:p>
      <w:pPr>
        <w:spacing w:after="120"/>
      </w:pPr>
      <w:r>
        <w:t xml:space="preserve">El token se cachea por empresa en memoria/almacén seguro y se renueva con el refresh_token; ante un 401 se reintenta una vez tras refrescar.</w:t>
      </w:r>
    </w:p>
    <w:p>
      <w:pPr>
        <w:pStyle w:val="Heading1"/>
      </w:pPr>
      <w:r>
        <w:t xml:space="preserve">9. Transmisión y consulta de estado</w:t>
      </w:r>
    </w:p>
    <w:p>
      <w:pPr>
        <w:spacing w:after="120"/>
      </w:pPr>
      <w:r>
        <w:t xml:space="preserve">El comprobante firmado se envía en base64 a la API de recepción. La aceptación es asíncrona: Hacienda responde primero “recibido/procesando” y luego “aceptado/rechazado”.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Recurso</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Valor</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Recepción (stag)</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https://api.comprobanteselectronicos.go.cr/recepcion-sandbox/v1/recepcion</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Recepción (prod)</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https://api.comprobanteselectronicos.go.cr/recepcion/v1/recepcion</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Consulta estado</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 …/recepcion/v1/recepcion/{clave}</w:t>
            </w:r>
          </w:p>
        </w:tc>
      </w:tr>
    </w:tbl>
    <w:p>
      <w:pPr>
        <w:pStyle w:val="Heading2"/>
      </w:pPr>
      <w:r>
        <w:t xml:space="preserve">9.1 Cuerpo de la transmisión</w:t>
      </w:r>
    </w:p>
    <w:p>
      <w:pPr>
        <w:pBdr>
          <w:left w:val="single" w:color="1F4E79" w:sz="12" w:space="6"/>
        </w:pBdr>
        <w:shd w:fill="F4F4F2" w:val="clear"/>
        <w:spacing w:after="120" w:before="60"/>
      </w:pPr>
      <w:r>
        <w:rPr>
          <w:rFonts w:ascii="Consolas" w:cs="Consolas" w:eastAsia="Consolas" w:hAnsi="Consolas"/>
          <w:sz w:val="18"/>
          <w:szCs w:val="18"/>
        </w:rPr>
        <w:t xml:space="preserve">POST /recepcion/v1/recepcion   (Authorization: Bearer &lt;token&gt;)</w:t>
      </w:r>
      <w:r>
        <w:rPr>
          <w:rFonts w:ascii="Consolas" w:cs="Consolas" w:eastAsia="Consolas" w:hAnsi="Consolas"/>
          <w:sz w:val="18"/>
          <w:szCs w:val="18"/>
        </w:rPr>
        <w:br/>
        <w:t xml:space="preserve">{</w:t>
      </w:r>
      <w:r>
        <w:rPr>
          <w:rFonts w:ascii="Consolas" w:cs="Consolas" w:eastAsia="Consolas" w:hAnsi="Consolas"/>
          <w:sz w:val="18"/>
          <w:szCs w:val="18"/>
        </w:rPr>
        <w:br/>
        <w:t xml:space="preserve">  "clave": "50601...8",</w:t>
      </w:r>
      <w:r>
        <w:rPr>
          <w:rFonts w:ascii="Consolas" w:cs="Consolas" w:eastAsia="Consolas" w:hAnsi="Consolas"/>
          <w:sz w:val="18"/>
          <w:szCs w:val="18"/>
        </w:rPr>
        <w:br/>
        <w:t xml:space="preserve">  "fecha": "2026-06-12T10:15:00-06:00",</w:t>
      </w:r>
      <w:r>
        <w:rPr>
          <w:rFonts w:ascii="Consolas" w:cs="Consolas" w:eastAsia="Consolas" w:hAnsi="Consolas"/>
          <w:sz w:val="18"/>
          <w:szCs w:val="18"/>
        </w:rPr>
        <w:br/>
        <w:t xml:space="preserve">  "emisor":   { "tipoIdentificacion": "02", "numeroIdentificacion": "3101..." },</w:t>
      </w:r>
      <w:r>
        <w:rPr>
          <w:rFonts w:ascii="Consolas" w:cs="Consolas" w:eastAsia="Consolas" w:hAnsi="Consolas"/>
          <w:sz w:val="18"/>
          <w:szCs w:val="18"/>
        </w:rPr>
        <w:br/>
        <w:t xml:space="preserve">  "receptor": { "tipoIdentificacion": "02", "numeroIdentificacion": "3101..." },</w:t>
      </w:r>
      <w:r>
        <w:rPr>
          <w:rFonts w:ascii="Consolas" w:cs="Consolas" w:eastAsia="Consolas" w:hAnsi="Consolas"/>
          <w:sz w:val="18"/>
          <w:szCs w:val="18"/>
        </w:rPr>
        <w:br/>
        <w:t xml:space="preserve">  "comprobanteXml": "&lt;base64 del XML firmado&gt;",</w:t>
      </w:r>
      <w:r>
        <w:rPr>
          <w:rFonts w:ascii="Consolas" w:cs="Consolas" w:eastAsia="Consolas" w:hAnsi="Consolas"/>
          <w:sz w:val="18"/>
          <w:szCs w:val="18"/>
        </w:rPr>
        <w:br/>
        <w:t xml:space="preserve">  "callbackUrl": "https://erp.miempresa.cr/fiscal/callback"   // opcional</w:t>
      </w:r>
      <w:r>
        <w:rPr>
          <w:rFonts w:ascii="Consolas" w:cs="Consolas" w:eastAsia="Consolas" w:hAnsi="Consolas"/>
          <w:sz w:val="18"/>
          <w:szCs w:val="18"/>
        </w:rPr>
        <w:br/>
        <w:t xml:space="preserve">}</w:t>
      </w:r>
    </w:p>
    <w:p>
      <w:pPr>
        <w:pStyle w:val="Heading2"/>
      </w:pPr>
      <w:r>
        <w:t xml:space="preserve">9.2 Estados de respuesta (ind-estado)</w:t>
      </w:r>
    </w:p>
    <w:p>
      <w:pPr>
        <w:spacing w:after="120"/>
      </w:pPr>
      <w:r>
        <w:t xml:space="preserve">La consulta de estado devuelve el campo ind-estado y, cuando finaliza, el mensaje de respuesta (MensajeHacienda) firmado en base64. Valores: recibido, procesando, aceptado, rechazado, error.</w:t>
      </w:r>
    </w:p>
    <w:p>
      <w:pPr>
        <w:pStyle w:val="Heading1"/>
      </w:pPr>
      <w:r>
        <w:t xml:space="preserve">10. Máquina de estados del comprobante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Estado</w:t>
            </w:r>
          </w:p>
        </w:tc>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Transición a</w:t>
            </w:r>
          </w:p>
        </w:tc>
        <w:tc>
          <w:tcPr>
            <w:tcW w:type="dxa" w:w="4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Disparador</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PENDING</w:t>
            </w:r>
          </w:p>
        </w:tc>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SIGNED</w:t>
            </w:r>
          </w:p>
        </w:tc>
        <w:tc>
          <w:tcPr>
            <w:tcW w:type="dxa" w:w="45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XML generado y firmado correctamente</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SIGNED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SENT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Transmitido a Hacienda (recibido/procesando)</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SENT</w:t>
            </w:r>
          </w:p>
        </w:tc>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ACCEPTED / REJECTED / PARTIAL</w:t>
            </w:r>
          </w:p>
        </w:tc>
        <w:tc>
          <w:tcPr>
            <w:tcW w:type="dxa" w:w="45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Respuesta final de Hacienda (callback o polling)</w:t>
            </w:r>
          </w:p>
        </w:tc>
      </w:tr>
      <w:tr>
        <w:trPr>
          <w:tblHeader w:val="false"/>
        </w:trP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SENT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CONTINGENCY</w:t>
            </w:r>
          </w:p>
        </w:tc>
        <w:tc>
          <w:tcPr>
            <w:tcW w:type="dxa" w:w="4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Sin conexión/respuesta: situación 2/3 y reintento</w:t>
            </w:r>
          </w:p>
        </w:tc>
      </w:tr>
      <w:tr>
        <w:trPr>
          <w:tblHeader w:val="false"/>
        </w:trPr>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REJECTED</w:t>
            </w:r>
          </w:p>
        </w:tc>
        <w:tc>
          <w:tcPr>
            <w:tcW w:type="dxa" w:w="2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PENDING</w:t>
            </w:r>
          </w:p>
        </w:tc>
        <w:tc>
          <w:tcPr>
            <w:tcW w:type="dxa" w:w="45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Corrección y reemisión (nueva clave)</w:t>
            </w:r>
          </w:p>
        </w:tc>
      </w:tr>
    </w:tbl>
    <w:p>
      <w:pPr>
        <w:pStyle w:val="Heading1"/>
      </w:pPr>
      <w:r>
        <w:t xml:space="preserve">11. Contingencia y reintentos</w:t>
      </w:r>
    </w:p>
    <w:p>
      <w:pPr>
        <w:pStyle w:val="ListParagraph"/>
        <w:numPr>
          <w:ilvl w:val="0"/>
          <w:numId w:val="2"/>
        </w:numPr>
        <w:spacing w:after="60"/>
      </w:pPr>
      <w:r>
        <w:t xml:space="preserve">Si no hay conexión o Hacienda no responde, el comprobante se emite en situación 2 (contingencia) o 3 (sin internet) y se entrega al cliente; la transmisión se encola para reintento.</w:t>
      </w:r>
    </w:p>
    <w:p>
      <w:pPr>
        <w:pStyle w:val="ListParagraph"/>
        <w:numPr>
          <w:ilvl w:val="0"/>
          <w:numId w:val="2"/>
        </w:numPr>
        <w:spacing w:after="60"/>
      </w:pPr>
      <w:r>
        <w:t xml:space="preserve">Reintentos con backoff exponencial; un worker en segundo plano procesa la cola hasta obtener respuesta definitiva.</w:t>
      </w:r>
    </w:p>
    <w:p>
      <w:pPr>
        <w:pStyle w:val="ListParagraph"/>
        <w:numPr>
          <w:ilvl w:val="0"/>
          <w:numId w:val="2"/>
        </w:numPr>
        <w:spacing w:after="60"/>
      </w:pPr>
      <w:r>
        <w:t xml:space="preserve">Toda transmisión y respuesta se registra en la bitácora (tabla hacienda_transmission) con número de intentos y marcas de tiempo.</w:t>
      </w:r>
    </w:p>
    <w:p>
      <w:pPr>
        <w:pStyle w:val="ListParagraph"/>
        <w:numPr>
          <w:ilvl w:val="0"/>
          <w:numId w:val="2"/>
        </w:numPr>
        <w:spacing w:after="60"/>
      </w:pPr>
      <w:r>
        <w:t xml:space="preserve">Alertas cuando un comprobante supera el umbral de reintentos o permanece sin aceptar más de N horas.</w:t>
      </w:r>
    </w:p>
    <w:p>
      <w:pPr>
        <w:pStyle w:val="Heading1"/>
      </w:pPr>
      <w:r>
        <w:t xml:space="preserve">12. Comprobantes recibidos (mensaje receptor)</w:t>
      </w:r>
    </w:p>
    <w:p>
      <w:pPr>
        <w:spacing w:after="120"/>
      </w:pPr>
      <w:r>
        <w:t xml:space="preserve">Como receptor, la empresa debe aceptar (o rechazar) los comprobantes de sus proveedores en TRIBU-CR dentro de los 8 días hábiles del mes siguiente para conservar el crédito de IVA. El microservicio genera y firma el mensaje receptor y lo transmite, registrando el resultado en la tabla received_document.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Mensaje</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Código</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Aceptado</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1</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Aceptado parcial</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2</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Rechazado</w:t>
            </w:r>
          </w:p>
        </w:tc>
        <w:tc>
          <w:tcPr>
            <w:tcW w:type="dxa" w:w="6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3</w:t>
            </w:r>
          </w:p>
        </w:tc>
      </w:tr>
    </w:tbl>
    <w:p>
      <w:pPr>
        <w:pStyle w:val="Heading1"/>
      </w:pPr>
      <w:r>
        <w:t xml:space="preserve">13. Seguridad y custodia de llaves</w:t>
      </w:r>
    </w:p>
    <w:p>
      <w:pPr>
        <w:pStyle w:val="ListParagraph"/>
        <w:numPr>
          <w:ilvl w:val="0"/>
          <w:numId w:val="2"/>
        </w:numPr>
        <w:spacing w:after="60"/>
      </w:pPr>
      <w:r>
        <w:t xml:space="preserve">Las llaves .p12 y las credenciales de API se almacenan cifradas (KMS/secret manager), nunca en el código ni en texto plano.</w:t>
      </w:r>
    </w:p>
    <w:p>
      <w:pPr>
        <w:pStyle w:val="ListParagraph"/>
        <w:numPr>
          <w:ilvl w:val="0"/>
          <w:numId w:val="2"/>
        </w:numPr>
        <w:spacing w:after="60"/>
      </w:pPr>
      <w:r>
        <w:t xml:space="preserve">Acceso a las llaves restringido al firmador; auditoría de cada uso.</w:t>
      </w:r>
    </w:p>
    <w:p>
      <w:pPr>
        <w:pStyle w:val="ListParagraph"/>
        <w:numPr>
          <w:ilvl w:val="0"/>
          <w:numId w:val="2"/>
        </w:numPr>
        <w:spacing w:after="60"/>
      </w:pPr>
      <w:r>
        <w:t xml:space="preserve">Comunicación ERP↔microservicio autenticada (API key o JWT interno) y sobre TLS.</w:t>
      </w:r>
    </w:p>
    <w:p>
      <w:pPr>
        <w:pStyle w:val="ListParagraph"/>
        <w:numPr>
          <w:ilvl w:val="0"/>
          <w:numId w:val="2"/>
        </w:numPr>
        <w:spacing w:after="60"/>
      </w:pPr>
      <w:r>
        <w:t xml:space="preserve">Separación por empresa: una llave/credencial no puede usarse para otra empresa.</w:t>
      </w:r>
    </w:p>
    <w:p>
      <w:pPr>
        <w:pStyle w:val="Heading1"/>
      </w:pPr>
      <w:r>
        <w:t xml:space="preserve">14. Persistencia</w:t>
      </w:r>
    </w:p>
    <w:p>
      <w:pPr>
        <w:spacing w:after="120"/>
      </w:pPr>
      <w:r>
        <w:t xml:space="preserve">El microservicio reutiliza las tablas fiscales ya definidas en el esquema del ERP: invoice (con sus campos fiscales), invoice_reference, payment (REP), hacienda_transmission y received_document, además de los catálogos cabys y economic_activity. Puede operar sobre el mismo esquema o sobre uno dedicado sincronizado por eventos.</w:t>
      </w:r>
    </w:p>
    <w:p>
      <w:pPr>
        <w:pStyle w:val="Heading1"/>
      </w:pPr>
      <w:r>
        <w:t xml:space="preserve">15. Observabilidad y auditoría</w:t>
      </w:r>
    </w:p>
    <w:p>
      <w:pPr>
        <w:pStyle w:val="ListParagraph"/>
        <w:numPr>
          <w:ilvl w:val="0"/>
          <w:numId w:val="2"/>
        </w:numPr>
        <w:spacing w:after="60"/>
      </w:pPr>
      <w:r>
        <w:t xml:space="preserve">Trazas estructuradas por clave de comprobante (correlación de extremo a extremo).</w:t>
      </w:r>
    </w:p>
    <w:p>
      <w:pPr>
        <w:pStyle w:val="ListParagraph"/>
        <w:numPr>
          <w:ilvl w:val="0"/>
          <w:numId w:val="2"/>
        </w:numPr>
        <w:spacing w:after="60"/>
      </w:pPr>
      <w:r>
        <w:t xml:space="preserve">Métricas: emitidos, aceptados, rechazados, en contingencia, tiempo a aceptación.</w:t>
      </w:r>
    </w:p>
    <w:p>
      <w:pPr>
        <w:pStyle w:val="ListParagraph"/>
        <w:numPr>
          <w:ilvl w:val="0"/>
          <w:numId w:val="2"/>
        </w:numPr>
        <w:spacing w:after="60"/>
      </w:pPr>
      <w:r>
        <w:t xml:space="preserve">Bitácora inmutable de envíos y respuestas para auditoría fiscal.</w:t>
      </w:r>
    </w:p>
    <w:p>
      <w:pPr>
        <w:pStyle w:val="ListParagraph"/>
        <w:numPr>
          <w:ilvl w:val="0"/>
          <w:numId w:val="2"/>
        </w:numPr>
        <w:spacing w:after="60"/>
      </w:pPr>
      <w:r>
        <w:t xml:space="preserve">Tablero de comprobantes pendientes/rechazados (vista v_hacienda_pending).</w:t>
      </w:r>
    </w:p>
    <w:p>
      <w:pPr>
        <w:pStyle w:val="Heading1"/>
      </w:pPr>
      <w:r>
        <w:t xml:space="preserve">16. Manejo de errores y rechazos</w:t>
      </w:r>
    </w:p>
    <w:p>
      <w:pPr>
        <w:pStyle w:val="ListParagraph"/>
        <w:numPr>
          <w:ilvl w:val="0"/>
          <w:numId w:val="2"/>
        </w:numPr>
        <w:spacing w:after="60"/>
      </w:pPr>
      <w:r>
        <w:t xml:space="preserve">Errores de validación (XSD/negocio) se devuelven al ERP antes de transmitir, con mensaje claro.</w:t>
      </w:r>
    </w:p>
    <w:p>
      <w:pPr>
        <w:pStyle w:val="ListParagraph"/>
        <w:numPr>
          <w:ilvl w:val="0"/>
          <w:numId w:val="2"/>
        </w:numPr>
        <w:spacing w:after="60"/>
      </w:pPr>
      <w:r>
        <w:t xml:space="preserve">Rechazos de Hacienda se almacenan con su código y detalle; el ERP debe corregir y reemitir (nueva clave).</w:t>
      </w:r>
    </w:p>
    <w:p>
      <w:pPr>
        <w:pStyle w:val="ListParagraph"/>
        <w:numPr>
          <w:ilvl w:val="0"/>
          <w:numId w:val="2"/>
        </w:numPr>
        <w:spacing w:after="60"/>
      </w:pPr>
      <w:r>
        <w:t xml:space="preserve">Catálogo interno de errores frecuentes (CAByS inválido, identificación errónea, firma inválida, token vencido).</w:t>
      </w:r>
    </w:p>
    <w:p>
      <w:pPr>
        <w:pStyle w:val="Heading1"/>
      </w:pPr>
      <w:r>
        <w:t xml:space="preserve">17. Plan de certificación en ambiente de pruebas</w:t>
      </w:r>
    </w:p>
    <w:p>
      <w:pPr>
        <w:pStyle w:val="ListParagraph"/>
        <w:numPr>
          <w:ilvl w:val="0"/>
          <w:numId w:val="3"/>
        </w:numPr>
        <w:spacing w:after="60"/>
      </w:pPr>
      <w:r>
        <w:t xml:space="preserve">Solicitar/usar las credenciales de API y la llave de pruebas en TRIBU-CR (ambiente stag).</w:t>
      </w:r>
    </w:p>
    <w:p>
      <w:pPr>
        <w:pStyle w:val="ListParagraph"/>
        <w:numPr>
          <w:ilvl w:val="0"/>
          <w:numId w:val="3"/>
        </w:numPr>
        <w:spacing w:after="60"/>
      </w:pPr>
      <w:r>
        <w:t xml:space="preserve">Emitir cada tipo de comprobante (FE, TE, NC, ND, FEC, FEE, REP) contra el sandbox.</w:t>
      </w:r>
    </w:p>
    <w:p>
      <w:pPr>
        <w:pStyle w:val="ListParagraph"/>
        <w:numPr>
          <w:ilvl w:val="0"/>
          <w:numId w:val="3"/>
        </w:numPr>
        <w:spacing w:after="60"/>
      </w:pPr>
      <w:r>
        <w:t xml:space="preserve">Validar firma y XSD localmente; confirmar aceptación en Hacienda.</w:t>
      </w:r>
    </w:p>
    <w:p>
      <w:pPr>
        <w:pStyle w:val="ListParagraph"/>
        <w:numPr>
          <w:ilvl w:val="0"/>
          <w:numId w:val="3"/>
        </w:numPr>
        <w:spacing w:after="60"/>
      </w:pPr>
      <w:r>
        <w:t xml:space="preserve">Probar casos de error y contingencia (rechazos, reintentos, sin conexión).</w:t>
      </w:r>
    </w:p>
    <w:p>
      <w:pPr>
        <w:pStyle w:val="ListParagraph"/>
        <w:numPr>
          <w:ilvl w:val="0"/>
          <w:numId w:val="3"/>
        </w:numPr>
        <w:spacing w:after="60"/>
      </w:pPr>
      <w:r>
        <w:t xml:space="preserve">Pruebas de aceptación de comprobantes recibidos.</w:t>
      </w:r>
    </w:p>
    <w:p>
      <w:pPr>
        <w:pStyle w:val="ListParagraph"/>
        <w:numPr>
          <w:ilvl w:val="0"/>
          <w:numId w:val="3"/>
        </w:numPr>
        <w:spacing w:after="60"/>
      </w:pPr>
      <w:r>
        <w:t xml:space="preserve">Pase a producción con credenciales y llave reales tras certificar.</w:t>
      </w:r>
    </w:p>
    <w:p>
      <w:pPr>
        <w:pStyle w:val="Heading1"/>
      </w:pPr>
      <w:r>
        <w:t xml:space="preserve">18. Mantenimiento y dependencias</w:t>
      </w:r>
    </w:p>
    <w:p>
      <w:pPr>
        <w:pStyle w:val="ListParagraph"/>
        <w:numPr>
          <w:ilvl w:val="0"/>
          <w:numId w:val="2"/>
        </w:numPr>
        <w:spacing w:after="60"/>
      </w:pPr>
      <w:r>
        <w:t xml:space="preserve">Monitorear los comunicados de Hacienda y versionar los XSD y catálogos (CAByS, actividades, ubicaciones).</w:t>
      </w:r>
    </w:p>
    <w:p>
      <w:pPr>
        <w:pStyle w:val="ListParagraph"/>
        <w:numPr>
          <w:ilvl w:val="0"/>
          <w:numId w:val="2"/>
        </w:numPr>
        <w:spacing w:after="60"/>
      </w:pPr>
      <w:r>
        <w:t xml:space="preserve">Plan de actualización ante cambios normativos (p. ej. ajustes anunciados para noviembre de 2026).</w:t>
      </w:r>
    </w:p>
    <w:p>
      <w:pPr>
        <w:pStyle w:val="ListParagraph"/>
        <w:numPr>
          <w:ilvl w:val="0"/>
          <w:numId w:val="2"/>
        </w:numPr>
        <w:spacing w:after="60"/>
      </w:pPr>
      <w:r>
        <w:t xml:space="preserve">Renovación de la llave .p12 antes de su vencimiento.</w:t>
      </w:r>
    </w:p>
    <w:p>
      <w:pPr>
        <w:pStyle w:val="ListParagraph"/>
        <w:numPr>
          <w:ilvl w:val="0"/>
          <w:numId w:val="2"/>
        </w:numPr>
        <w:spacing w:after="60"/>
      </w:pPr>
      <w:r>
        <w:t xml:space="preserve">Pruebas de regresión automatizadas contra el sandbox de Hacienda.</w:t>
      </w:r>
    </w:p>
    <w:p>
      <w:pPr>
        <w:spacing w:before="200"/>
      </w:pPr>
      <w:r>
        <w:rPr>
          <w:i/>
          <w:iCs/>
          <w:sz w:val="20"/>
          <w:szCs w:val="20"/>
        </w:rPr>
        <w:t xml:space="preserve">Descargo: este documento es una guía técnica basada en información pública de Hacienda a junio de 2026. Antes de producción, validar contra la documentación oficial vigente y con un asesor fiscal costarricense.</w:t>
      </w:r>
    </w:p>
    <w:p>
      <w:pPr>
        <w:pStyle w:val="Heading1"/>
      </w:pPr>
      <w:r>
        <w:t xml:space="preserve">Anexo. Recursos oficiales</w:t>
      </w:r>
    </w:p>
    <w:p>
      <w:pPr>
        <w:pStyle w:val="ListParagraph"/>
        <w:numPr>
          <w:ilvl w:val="0"/>
          <w:numId w:val="2"/>
        </w:numPr>
        <w:spacing w:after="60"/>
      </w:pPr>
      <w:r>
        <w:t xml:space="preserve">Esquemas y anexos v4.4 (ATV/Hacienda): documentación oficial de estructuras XML.</w:t>
      </w:r>
    </w:p>
    <w:p>
      <w:pPr>
        <w:pStyle w:val="ListParagraph"/>
        <w:numPr>
          <w:ilvl w:val="0"/>
          <w:numId w:val="2"/>
        </w:numPr>
        <w:spacing w:after="60"/>
      </w:pPr>
      <w:r>
        <w:t xml:space="preserve">FacturaElectronica_V4.4.xsd: esquema XSD de la factura electrónica.</w:t>
      </w:r>
    </w:p>
    <w:p>
      <w:pPr>
        <w:pStyle w:val="ListParagraph"/>
        <w:numPr>
          <w:ilvl w:val="0"/>
          <w:numId w:val="2"/>
        </w:numPr>
        <w:spacing w:after="60"/>
      </w:pPr>
      <w:r>
        <w:t xml:space="preserve">API de recepción: api.comprobanteselectronicos.go.cr (sandbox y producción).</w:t>
      </w:r>
    </w:p>
    <w:p>
      <w:pPr>
        <w:pStyle w:val="ListParagraph"/>
        <w:numPr>
          <w:ilvl w:val="0"/>
          <w:numId w:val="2"/>
        </w:numPr>
        <w:spacing w:after="60"/>
      </w:pPr>
      <w:r>
        <w:t xml:space="preserve">IdP (OAuth/OIDC): idp.comprobanteselectronicos.go.cr.</w:t>
      </w:r>
    </w:p>
    <w:p>
      <w:pPr>
        <w:pStyle w:val="ListParagraph"/>
        <w:numPr>
          <w:ilvl w:val="0"/>
          <w:numId w:val="2"/>
        </w:numPr>
        <w:spacing w:after="60"/>
      </w:pPr>
      <w:r>
        <w:t xml:space="preserve">Referencia de implementación abierta: proyecto CRLibre/API_Hacienda (GitHub).</w:t>
      </w:r>
    </w:p>
    <w:p>
      <w:r>
        <w:br w:type="page"/>
      </w:r>
    </w:p>
    <w:p>
      <w:pPr>
        <w:spacing w:after="60" w:before="2400"/>
        <w:jc w:val="center"/>
      </w:pPr>
      <w:r>
        <w:rPr>
          <w:b/>
          <w:bCs/>
          <w:color w:val="8A8A8A"/>
          <w:sz w:val="28"/>
          <w:szCs w:val="28"/>
        </w:rPr>
        <w:t xml:space="preserve">PARTE III</w:t>
      </w:r>
    </w:p>
    <w:p>
      <w:pPr>
        <w:pStyle w:val="Heading1"/>
        <w:jc w:val="center"/>
      </w:pPr>
      <w:r>
        <w:t xml:space="preserve">Integración de la página web</w:t>
      </w:r>
    </w:p>
    <w:p>
      <w:pPr>
        <w:spacing w:after="200"/>
        <w:jc w:val="center"/>
      </w:pPr>
      <w:r>
        <w:rPr>
          <w:i/>
          <w:iCs/>
          <w:color w:val="555555"/>
          <w:sz w:val="22"/>
          <w:szCs w:val="22"/>
        </w:rPr>
        <w:t xml:space="preserve">Carrito, validación de precios y stock, y pago BAC compraCLICK</w:t>
      </w:r>
    </w:p>
    <w:p>
      <w:r>
        <w:br w:type="page"/>
      </w:r>
    </w:p>
    <w:p>
      <w:pPr>
        <w:pStyle w:val="Heading1"/>
      </w:pPr>
      <w:r>
        <w:t xml:space="preserve">1. Objetivo y contexto</w:t>
      </w:r>
    </w:p>
    <w:p>
      <w:pPr>
        <w:spacing w:after="120"/>
      </w:pPr>
      <w:r>
        <w:t xml:space="preserve">Este documento define cómo se conecta la tienda en línea con el resto del sistema. Bajo el modelo de plataforma unificada (Modelo A) adoptado, la tienda NO es un sistema externo con base propia: es un frontend/módulo más sobre el mismo backend y la misma base de datos del ERP, y accede al dominio compartido a través de una capa pública (BFF) de catálogo, precios y pedidos. La tienda no implementa lógica de negocio ni duplica catálogo o inventario; el ERP es la única fuente de verdad.</w:t>
      </w:r>
    </w:p>
    <w:p>
      <w:pPr>
        <w:spacing w:after="120"/>
      </w:pPr>
      <w:r>
        <w:t xml:space="preserve">Nota: los endpoints descritos aquí corresponden a esa capa pública/BFF. Si en el futuro la tienda se extrajera como servicio independiente, el mismo contrato seguiría siendo válido.</w:t>
      </w:r>
    </w:p>
    <w:p>
      <w:pPr>
        <w:pStyle w:val="Heading2"/>
      </w:pPr>
      <w:r>
        <w:t xml:space="preserve">1.1 Flujo de negocio acordado</w:t>
      </w:r>
    </w:p>
    <w:p>
      <w:pPr>
        <w:pStyle w:val="ListParagraph"/>
        <w:numPr>
          <w:ilvl w:val="0"/>
          <w:numId w:val="3"/>
        </w:numPr>
        <w:spacing w:after="60"/>
      </w:pPr>
      <w:r>
        <w:t xml:space="preserve">El cliente arma el carrito en la web; la web valida precios y stock contra el ERP.</w:t>
      </w:r>
    </w:p>
    <w:p>
      <w:pPr>
        <w:pStyle w:val="ListParagraph"/>
        <w:numPr>
          <w:ilvl w:val="0"/>
          <w:numId w:val="3"/>
        </w:numPr>
        <w:spacing w:after="60"/>
      </w:pPr>
      <w:r>
        <w:t xml:space="preserve">Al confirmar, la web crea un pedido en el ERP (estado: recibido).</w:t>
      </w:r>
    </w:p>
    <w:p>
      <w:pPr>
        <w:pStyle w:val="ListParagraph"/>
        <w:numPr>
          <w:ilvl w:val="0"/>
          <w:numId w:val="3"/>
        </w:numPr>
        <w:spacing w:after="60"/>
      </w:pPr>
      <w:r>
        <w:t xml:space="preserve">Un agente revisa inventario y valida la venta (control previo al cobro).</w:t>
      </w:r>
    </w:p>
    <w:p>
      <w:pPr>
        <w:pStyle w:val="ListParagraph"/>
        <w:numPr>
          <w:ilvl w:val="0"/>
          <w:numId w:val="3"/>
        </w:numPr>
        <w:spacing w:after="60"/>
      </w:pPr>
      <w:r>
        <w:t xml:space="preserve">El ERP genera un enlace de pago BAC compraCLICK y lo envía al cliente por correo o teléfono.</w:t>
      </w:r>
    </w:p>
    <w:p>
      <w:pPr>
        <w:pStyle w:val="ListParagraph"/>
        <w:numPr>
          <w:ilvl w:val="0"/>
          <w:numId w:val="3"/>
        </w:numPr>
        <w:spacing w:after="60"/>
      </w:pPr>
      <w:r>
        <w:t xml:space="preserve">El cliente paga de forma segura (3D Secure) en la página de BAC.</w:t>
      </w:r>
    </w:p>
    <w:p>
      <w:pPr>
        <w:pStyle w:val="ListParagraph"/>
        <w:numPr>
          <w:ilvl w:val="0"/>
          <w:numId w:val="3"/>
        </w:numPr>
        <w:spacing w:after="60"/>
      </w:pPr>
      <w:r>
        <w:t xml:space="preserve">BAC confirma el pago; el ERP marca el pedido como pagado.</w:t>
      </w:r>
    </w:p>
    <w:p>
      <w:pPr>
        <w:pStyle w:val="ListParagraph"/>
        <w:numPr>
          <w:ilvl w:val="0"/>
          <w:numId w:val="3"/>
        </w:numPr>
        <w:spacing w:after="60"/>
      </w:pPr>
      <w:r>
        <w:t xml:space="preserve">El ERP emite la factura electrónica (Hacienda) y notifica al cliente.</w:t>
      </w:r>
    </w:p>
    <w:p>
      <w:pPr>
        <w:spacing w:after="120"/>
      </w:pPr>
      <w:r>
        <w:rPr>
          <w:i/>
          <w:iCs/>
          <w:sz w:val="20"/>
          <w:szCs w:val="20"/>
        </w:rPr>
        <w:t xml:space="preserve">Este flujo con revisión previa al cobro es deliberado: evita vender lo que no hay en stock y permite validar la venta antes de cobrar.</w:t>
      </w:r>
    </w:p>
    <w:p>
      <w:pPr>
        <w:pStyle w:val="Heading1"/>
      </w:pPr>
      <w:r>
        <w:t xml:space="preserve">2. Arquitectura de integración</w:t>
      </w:r>
    </w:p>
    <w:p>
      <w:pPr>
        <w:spacing w:after="120"/>
      </w:pPr>
      <w:r>
        <w:t xml:space="preserve">La tienda consume la capa pública/BFF de comercio (REST/JSON) del backend unificado, que opera sobre la misma base de datos en red privada. El cobro se delega a BAC compraCLICK mediante enlaces de pago; la facturación se delega al microservicio fiscal. La tienda nunca habla con Hacienda ni con BAC directamente para datos sensibles, ni accede a la base de datos: solo a la capa pública de alcance reducido.</w:t>
      </w:r>
    </w:p>
    <w:p>
      <w:pPr>
        <w:spacing w:after="120"/>
      </w:pPr>
      <w:r>
        <w:t xml:space="preserve">Esquema lógico: Web (frontend propio) → API de comercio del ERP → núcleo del ERP (inventario, ventas, clientes) → microservicio fiscal (Hacienda) y conector de pagos (BAC compraCLICK). BAC notifica el pago al ERP por webhook.</w:t>
      </w:r>
    </w:p>
    <w:p>
      <w:pPr>
        <w:pStyle w:val="Heading1"/>
      </w:pPr>
      <w:r>
        <w:t xml:space="preserve">3. Autenticación y seguridad</w:t>
      </w:r>
    </w:p>
    <w:p>
      <w:pPr>
        <w:pStyle w:val="ListParagraph"/>
        <w:numPr>
          <w:ilvl w:val="0"/>
          <w:numId w:val="2"/>
        </w:numPr>
        <w:spacing w:after="60"/>
      </w:pPr>
      <w:r>
        <w:t xml:space="preserve">La web se autentica como api_client con client_key + secret (OAuth client credentials o API key firmada); nunca expone el secreto en el navegador (las llamadas sensibles salen del servidor de la web, no del cliente).</w:t>
      </w:r>
    </w:p>
    <w:p>
      <w:pPr>
        <w:pStyle w:val="ListParagraph"/>
        <w:numPr>
          <w:ilvl w:val="0"/>
          <w:numId w:val="2"/>
        </w:numPr>
        <w:spacing w:after="60"/>
      </w:pPr>
      <w:r>
        <w:t xml:space="preserve">Todo sobre HTTPS/TLS; alcances (scopes) por cliente: catalog:read, inventory:read, orders:write, payments:read.</w:t>
      </w:r>
    </w:p>
    <w:p>
      <w:pPr>
        <w:pStyle w:val="ListParagraph"/>
        <w:numPr>
          <w:ilvl w:val="0"/>
          <w:numId w:val="2"/>
        </w:numPr>
        <w:spacing w:after="60"/>
      </w:pPr>
      <w:r>
        <w:t xml:space="preserve">Límite de tasa (rate limiting) y CORS restringido al dominio de la web.</w:t>
      </w:r>
    </w:p>
    <w:p>
      <w:pPr>
        <w:pStyle w:val="ListParagraph"/>
        <w:numPr>
          <w:ilvl w:val="0"/>
          <w:numId w:val="2"/>
        </w:numPr>
        <w:spacing w:after="60"/>
      </w:pPr>
      <w:r>
        <w:t xml:space="preserve">Webhooks entrantes (pago) firmados/verificados y con idempotencia (tabla webhook_event).</w:t>
      </w:r>
    </w:p>
    <w:p>
      <w:pPr>
        <w:pStyle w:val="Heading1"/>
      </w:pPr>
      <w:r>
        <w:t xml:space="preserve">4. Catálogo y precios</w:t>
      </w:r>
    </w:p>
    <w:p>
      <w:pPr>
        <w:spacing w:after="120"/>
      </w:pPr>
      <w:r>
        <w:t xml:space="preserve">La web obtiene solo los productos marcados como visibles en la tienda (campo web_published del producto) y sus precios desde el ERP, respetando la lista de precios del canal web. Cada producto puede tener título/descripción/URL para la web y una galería de imágenes (product_image).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Endpoint</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Método</w:t>
            </w:r>
          </w:p>
        </w:tc>
        <w:tc>
          <w:tcPr>
            <w:tcW w:type="dxa" w:w="5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Descripción</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/api/v1/catalog</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50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Solo productos con web_published = verdadero (filtros, paginación, since para sincronización incremental).</w:t>
            </w:r>
          </w:p>
        </w:tc>
      </w:tr>
      <w:tr>
        <w:trPr>
          <w:tblHeader w:val="false"/>
        </w:trP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/api/v1/products/{sku}</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GET</w:t>
            </w:r>
          </w:p>
        </w:tc>
        <w:tc>
          <w:tcPr>
            <w:tcW w:type="dxa" w:w="5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Detalle de un producto, precio vigente y disponibilidad.</w:t>
            </w:r>
          </w:p>
        </w:tc>
      </w:tr>
      <w:tr>
        <w:trPr>
          <w:tblHeader w:val="false"/>
        </w:trPr>
        <w:tc>
          <w:tcPr>
            <w:tcW w:type="dxa" w:w="32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/api/v1/price-lists</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50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Listas de precios por moneda aplicables al canal web.</w:t>
            </w:r>
          </w:p>
        </w:tc>
      </w:tr>
    </w:tbl>
    <w:p>
      <w:pPr>
        <w:spacing w:after="120"/>
      </w:pPr>
      <w:r>
        <w:t xml:space="preserve">Optimización: la web puede cachear el catálogo y sincronizar incrementalmente (parámetro since / updated_at), de modo que solo trae lo que cambió.</w:t>
      </w:r>
    </w:p>
    <w:p>
      <w:pPr>
        <w:pStyle w:val="Heading1"/>
      </w:pPr>
      <w:r>
        <w:t xml:space="preserve">5. Validación de precios y stock en tiempo real</w:t>
      </w:r>
    </w:p>
    <w:p>
      <w:pPr>
        <w:spacing w:after="120"/>
      </w:pPr>
      <w:r>
        <w:t xml:space="preserve">Antes de permitir el checkout, la web valida el carrito completo en una sola llamada. Esto evita vender a precio desactualizado o sin existencias y minimiza procesos posteriores.</w:t>
      </w:r>
    </w:p>
    <w:p>
      <w:pPr>
        <w:pBdr>
          <w:left w:val="single" w:color="1F4E79" w:sz="12" w:space="6"/>
        </w:pBdr>
        <w:shd w:fill="F4F4F2" w:val="clear"/>
        <w:spacing w:after="120" w:before="60"/>
      </w:pPr>
      <w:r>
        <w:rPr>
          <w:rFonts w:ascii="Consolas" w:cs="Consolas" w:eastAsia="Consolas" w:hAnsi="Consolas"/>
          <w:sz w:val="18"/>
          <w:szCs w:val="18"/>
        </w:rPr>
        <w:t xml:space="preserve">POST /api/v1/cart/validate</w:t>
      </w:r>
      <w:r>
        <w:rPr>
          <w:rFonts w:ascii="Consolas" w:cs="Consolas" w:eastAsia="Consolas" w:hAnsi="Consolas"/>
          <w:sz w:val="18"/>
          <w:szCs w:val="18"/>
        </w:rPr>
        <w:br/>
        <w:t xml:space="preserve">{</w:t>
      </w:r>
      <w:r>
        <w:rPr>
          <w:rFonts w:ascii="Consolas" w:cs="Consolas" w:eastAsia="Consolas" w:hAnsi="Consolas"/>
          <w:sz w:val="18"/>
          <w:szCs w:val="18"/>
        </w:rPr>
        <w:br/>
        <w:t xml:space="preserve">  "moneda": "CRC",</w:t>
      </w:r>
      <w:r>
        <w:rPr>
          <w:rFonts w:ascii="Consolas" w:cs="Consolas" w:eastAsia="Consolas" w:hAnsi="Consolas"/>
          <w:sz w:val="18"/>
          <w:szCs w:val="18"/>
        </w:rPr>
        <w:br/>
        <w:t xml:space="preserve">  "items": [</w:t>
      </w:r>
      <w:r>
        <w:rPr>
          <w:rFonts w:ascii="Consolas" w:cs="Consolas" w:eastAsia="Consolas" w:hAnsi="Consolas"/>
          <w:sz w:val="18"/>
          <w:szCs w:val="18"/>
        </w:rPr>
        <w:br/>
        <w:t xml:space="preserve">    { "sku": "NB-001", "cantidad": 1 },</w:t>
      </w:r>
      <w:r>
        <w:rPr>
          <w:rFonts w:ascii="Consolas" w:cs="Consolas" w:eastAsia="Consolas" w:hAnsi="Consolas"/>
          <w:sz w:val="18"/>
          <w:szCs w:val="18"/>
        </w:rPr>
        <w:br/>
        <w:t xml:space="preserve">    { "sku": "MO-310", "cantidad": 2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200 OK</w:t>
      </w:r>
      <w:r>
        <w:rPr>
          <w:rFonts w:ascii="Consolas" w:cs="Consolas" w:eastAsia="Consolas" w:hAnsi="Consolas"/>
          <w:sz w:val="18"/>
          <w:szCs w:val="18"/>
        </w:rPr>
        <w:br/>
        <w:t xml:space="preserve">{</w:t>
      </w:r>
      <w:r>
        <w:rPr>
          <w:rFonts w:ascii="Consolas" w:cs="Consolas" w:eastAsia="Consolas" w:hAnsi="Consolas"/>
          <w:sz w:val="18"/>
          <w:szCs w:val="18"/>
        </w:rPr>
        <w:br/>
        <w:t xml:space="preserve">  "valido": true,</w:t>
      </w:r>
      <w:r>
        <w:rPr>
          <w:rFonts w:ascii="Consolas" w:cs="Consolas" w:eastAsia="Consolas" w:hAnsi="Consolas"/>
          <w:sz w:val="18"/>
          <w:szCs w:val="18"/>
        </w:rPr>
        <w:br/>
        <w:t xml:space="preserve">  "items": [</w:t>
      </w:r>
      <w:r>
        <w:rPr>
          <w:rFonts w:ascii="Consolas" w:cs="Consolas" w:eastAsia="Consolas" w:hAnsi="Consolas"/>
          <w:sz w:val="18"/>
          <w:szCs w:val="18"/>
        </w:rPr>
        <w:br/>
        <w:t xml:space="preserve">    { "sku": "NB-001", "precioUnitario": 459000, "disponible": 9, "ok": true },</w:t>
      </w:r>
      <w:r>
        <w:rPr>
          <w:rFonts w:ascii="Consolas" w:cs="Consolas" w:eastAsia="Consolas" w:hAnsi="Consolas"/>
          <w:sz w:val="18"/>
          <w:szCs w:val="18"/>
        </w:rPr>
        <w:br/>
        <w:t xml:space="preserve">    { "sku": "MO-310", "precioUnitario": 9200,  "disponible": 4, "ok": true }</w:t>
      </w:r>
      <w:r>
        <w:rPr>
          <w:rFonts w:ascii="Consolas" w:cs="Consolas" w:eastAsia="Consolas" w:hAnsi="Consolas"/>
          <w:sz w:val="18"/>
          <w:szCs w:val="18"/>
        </w:rPr>
        <w:br/>
        <w:t xml:space="preserve">  ],</w:t>
      </w:r>
      <w:r>
        <w:rPr>
          <w:rFonts w:ascii="Consolas" w:cs="Consolas" w:eastAsia="Consolas" w:hAnsi="Consolas"/>
          <w:sz w:val="18"/>
          <w:szCs w:val="18"/>
        </w:rPr>
        <w:br/>
        <w:t xml:space="preserve">  "subtotal": 477400, "impuesto": 62062, "total": 539462</w:t>
      </w:r>
      <w:r>
        <w:rPr>
          <w:rFonts w:ascii="Consolas" w:cs="Consolas" w:eastAsia="Consolas" w:hAnsi="Consolas"/>
          <w:sz w:val="18"/>
          <w:szCs w:val="18"/>
        </w:rPr>
        <w:br/>
        <w:t xml:space="preserve">}</w:t>
      </w:r>
    </w:p>
    <w:p>
      <w:pPr>
        <w:spacing w:after="120"/>
      </w:pPr>
      <w:r>
        <w:t xml:space="preserve">Si un ítem cambió de precio o no hay stock, el servicio responde ok:false en esa línea con el precio/disponibilidad actuales, y la web actualiza el carrito antes de continuar.</w:t>
      </w:r>
    </w:p>
    <w:p>
      <w:pPr>
        <w:pStyle w:val="Heading1"/>
      </w:pPr>
      <w:r>
        <w:t xml:space="preserve">6. Creación del pedido desde el carrito</w:t>
      </w:r>
    </w:p>
    <w:p>
      <w:pPr>
        <w:spacing w:after="120"/>
      </w:pPr>
      <w:r>
        <w:t xml:space="preserve">Al confirmar, la web envía el pedido. Se usa una clave de idempotencia para que un reintento no genere pedidos duplicados.</w:t>
      </w:r>
    </w:p>
    <w:p>
      <w:pPr>
        <w:pBdr>
          <w:left w:val="single" w:color="1F4E79" w:sz="12" w:space="6"/>
        </w:pBdr>
        <w:shd w:fill="F4F4F2" w:val="clear"/>
        <w:spacing w:after="120" w:before="60"/>
      </w:pPr>
      <w:r>
        <w:rPr>
          <w:rFonts w:ascii="Consolas" w:cs="Consolas" w:eastAsia="Consolas" w:hAnsi="Consolas"/>
          <w:sz w:val="18"/>
          <w:szCs w:val="18"/>
        </w:rPr>
        <w:t xml:space="preserve">POST /api/v1/orders        (Idempotency-Key: 9f8c-...)</w:t>
      </w:r>
      <w:r>
        <w:rPr>
          <w:rFonts w:ascii="Consolas" w:cs="Consolas" w:eastAsia="Consolas" w:hAnsi="Consolas"/>
          <w:sz w:val="18"/>
          <w:szCs w:val="18"/>
        </w:rPr>
        <w:br/>
        <w:t xml:space="preserve">{</w:t>
      </w:r>
      <w:r>
        <w:rPr>
          <w:rFonts w:ascii="Consolas" w:cs="Consolas" w:eastAsia="Consolas" w:hAnsi="Consolas"/>
          <w:sz w:val="18"/>
          <w:szCs w:val="18"/>
        </w:rPr>
        <w:br/>
        <w:t xml:space="preserve">  "externalRef": "WEB-20260612-0007",</w:t>
      </w:r>
      <w:r>
        <w:rPr>
          <w:rFonts w:ascii="Consolas" w:cs="Consolas" w:eastAsia="Consolas" w:hAnsi="Consolas"/>
          <w:sz w:val="18"/>
          <w:szCs w:val="18"/>
        </w:rPr>
        <w:br/>
        <w:t xml:space="preserve">  "cliente": { "nombre": "Juan Pérez", "identificacion": "1-1234-5678",</w:t>
      </w:r>
      <w:r>
        <w:rPr>
          <w:rFonts w:ascii="Consolas" w:cs="Consolas" w:eastAsia="Consolas" w:hAnsi="Consolas"/>
          <w:sz w:val="18"/>
          <w:szCs w:val="18"/>
        </w:rPr>
        <w:br/>
        <w:t xml:space="preserve">               "email": "juan@correo.cr", "telefono": "8888-0000" },</w:t>
      </w:r>
      <w:r>
        <w:rPr>
          <w:rFonts w:ascii="Consolas" w:cs="Consolas" w:eastAsia="Consolas" w:hAnsi="Consolas"/>
          <w:sz w:val="18"/>
          <w:szCs w:val="18"/>
        </w:rPr>
        <w:br/>
        <w:t xml:space="preserve">  "moneda": "CRC",</w:t>
      </w:r>
      <w:r>
        <w:rPr>
          <w:rFonts w:ascii="Consolas" w:cs="Consolas" w:eastAsia="Consolas" w:hAnsi="Consolas"/>
          <w:sz w:val="18"/>
          <w:szCs w:val="18"/>
        </w:rPr>
        <w:br/>
        <w:t xml:space="preserve">  "items": [ { "sku": "NB-001", "cantidad": 1 }, { "sku": "MO-310", "cantidad": 2 } ],</w:t>
      </w:r>
      <w:r>
        <w:rPr>
          <w:rFonts w:ascii="Consolas" w:cs="Consolas" w:eastAsia="Consolas" w:hAnsi="Consolas"/>
          <w:sz w:val="18"/>
          <w:szCs w:val="18"/>
        </w:rPr>
        <w:br/>
        <w:t xml:space="preserve">  "notas": "Entrega en sucursal Centro"</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201 Created</w:t>
      </w:r>
      <w:r>
        <w:rPr>
          <w:rFonts w:ascii="Consolas" w:cs="Consolas" w:eastAsia="Consolas" w:hAnsi="Consolas"/>
          <w:sz w:val="18"/>
          <w:szCs w:val="18"/>
        </w:rPr>
        <w:br/>
        <w:t xml:space="preserve">{ "ordenId": 5012, "numero": "PED-5012", "estadoWeb": "RECEIVED" }</w:t>
      </w:r>
    </w:p>
    <w:p>
      <w:pPr>
        <w:spacing w:after="120"/>
      </w:pPr>
      <w:r>
        <w:t xml:space="preserve">El ERP crea el pedido con channel=WEB y web_status=RECEIVED, registra/asocia el cliente (creándolo si no existe) y guarda externalRef para conciliación. El pedido aún no afecta inventario de forma definitiva ni factura.</w:t>
      </w:r>
    </w:p>
    <w:p>
      <w:pPr>
        <w:pStyle w:val="Heading1"/>
      </w:pPr>
      <w:r>
        <w:t xml:space="preserve">7. Revisión y validación de inventario</w:t>
      </w:r>
    </w:p>
    <w:p>
      <w:pPr>
        <w:pStyle w:val="ListParagraph"/>
        <w:numPr>
          <w:ilvl w:val="0"/>
          <w:numId w:val="2"/>
        </w:numPr>
        <w:spacing w:after="60"/>
      </w:pPr>
      <w:r>
        <w:t xml:space="preserve">El pedido web aparece en la bandeja del ERP (vista v_web_orders_pending).</w:t>
      </w:r>
    </w:p>
    <w:p>
      <w:pPr>
        <w:pStyle w:val="ListParagraph"/>
        <w:numPr>
          <w:ilvl w:val="0"/>
          <w:numId w:val="2"/>
        </w:numPr>
        <w:spacing w:after="60"/>
      </w:pPr>
      <w:r>
        <w:t xml:space="preserve">El agente confirma existencias y valida la venta; puede reservar el stock al validar.</w:t>
      </w:r>
    </w:p>
    <w:p>
      <w:pPr>
        <w:pStyle w:val="ListParagraph"/>
        <w:numPr>
          <w:ilvl w:val="0"/>
          <w:numId w:val="2"/>
        </w:numPr>
        <w:spacing w:after="60"/>
      </w:pPr>
      <w:r>
        <w:t xml:space="preserve">Al validar, web_status pasa a VALIDATED y queda listo para cobro.</w:t>
      </w:r>
    </w:p>
    <w:p>
      <w:pPr>
        <w:pStyle w:val="Heading1"/>
      </w:pPr>
      <w:r>
        <w:t xml:space="preserve">8. Enlace de pago (BAC compraCLICK)</w:t>
      </w:r>
    </w:p>
    <w:p>
      <w:pPr>
        <w:spacing w:after="120"/>
      </w:pPr>
      <w:r>
        <w:t xml:space="preserve">Validado el pedido, el ERP genera un enlace de pago compraCLICK por el monto total y lo envía al cliente por correo o teléfono (WhatsApp/SMS).</w:t>
      </w:r>
    </w:p>
    <w:p>
      <w:pPr>
        <w:pBdr>
          <w:left w:val="single" w:color="1F4E79" w:sz="12" w:space="6"/>
        </w:pBdr>
        <w:shd w:fill="F4F4F2" w:val="clear"/>
        <w:spacing w:after="120" w:before="60"/>
      </w:pPr>
      <w:r>
        <w:rPr>
          <w:rFonts w:ascii="Consolas" w:cs="Consolas" w:eastAsia="Consolas" w:hAnsi="Consolas"/>
          <w:sz w:val="18"/>
          <w:szCs w:val="18"/>
        </w:rPr>
        <w:t xml:space="preserve">POST /api/v1/orders/5012/payment-link</w:t>
      </w:r>
      <w:r>
        <w:rPr>
          <w:rFonts w:ascii="Consolas" w:cs="Consolas" w:eastAsia="Consolas" w:hAnsi="Consolas"/>
          <w:sz w:val="18"/>
          <w:szCs w:val="18"/>
        </w:rPr>
        <w:br/>
        <w:t xml:space="preserve">{</w:t>
      </w:r>
      <w:r>
        <w:rPr>
          <w:rFonts w:ascii="Consolas" w:cs="Consolas" w:eastAsia="Consolas" w:hAnsi="Consolas"/>
          <w:sz w:val="18"/>
          <w:szCs w:val="18"/>
        </w:rPr>
        <w:br/>
        <w:t xml:space="preserve">  "canal": "EMAIL",                 // EMAIL | SMS | WHATSAPP</w:t>
      </w:r>
      <w:r>
        <w:rPr>
          <w:rFonts w:ascii="Consolas" w:cs="Consolas" w:eastAsia="Consolas" w:hAnsi="Consolas"/>
          <w:sz w:val="18"/>
          <w:szCs w:val="18"/>
        </w:rPr>
        <w:br/>
        <w:t xml:space="preserve">  "expiraEn": "2026-06-13T23:59:00-06:00"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200 OK</w:t>
      </w:r>
      <w:r>
        <w:rPr>
          <w:rFonts w:ascii="Consolas" w:cs="Consolas" w:eastAsia="Consolas" w:hAnsi="Consolas"/>
          <w:sz w:val="18"/>
          <w:szCs w:val="18"/>
        </w:rPr>
        <w:br/>
        <w:t xml:space="preserve">{</w:t>
      </w:r>
      <w:r>
        <w:rPr>
          <w:rFonts w:ascii="Consolas" w:cs="Consolas" w:eastAsia="Consolas" w:hAnsi="Consolas"/>
          <w:sz w:val="18"/>
          <w:szCs w:val="18"/>
        </w:rPr>
        <w:br/>
        <w:t xml:space="preserve">  "paymentLinkId": 88, "url": "https://...bac.../pay/abc123",</w:t>
      </w:r>
      <w:r>
        <w:rPr>
          <w:rFonts w:ascii="Consolas" w:cs="Consolas" w:eastAsia="Consolas" w:hAnsi="Consolas"/>
          <w:sz w:val="18"/>
          <w:szCs w:val="18"/>
        </w:rPr>
        <w:br/>
        <w:t xml:space="preserve">  "estado": "SENT", "monto": 539462, "moneda": "CRC"</w:t>
      </w:r>
      <w:r>
        <w:rPr>
          <w:rFonts w:ascii="Consolas" w:cs="Consolas" w:eastAsia="Consolas" w:hAnsi="Consolas"/>
          <w:sz w:val="18"/>
          <w:szCs w:val="18"/>
        </w:rPr>
        <w:br/>
        <w:t xml:space="preserve">}</w:t>
      </w:r>
    </w:p>
    <w:p>
      <w:pPr>
        <w:spacing w:after="120"/>
      </w:pPr>
      <w:r>
        <w:t xml:space="preserve">El enlace se registra en payment_link (estado CREATED→SENT) y web_status pasa a AWAIT_PAYMENT. La transacción de pago ocurre en la página segura de BAC con 3D Secure; el ERP no almacena datos de tarjeta.</w:t>
      </w:r>
    </w:p>
    <w:p>
      <w:pPr>
        <w:pStyle w:val="Heading1"/>
      </w:pPr>
      <w:r>
        <w:t xml:space="preserve">9. Confirmación del pago</w:t>
      </w:r>
    </w:p>
    <w:p>
      <w:pPr>
        <w:spacing w:after="120"/>
      </w:pPr>
      <w:r>
        <w:t xml:space="preserve">BAC notifica el resultado del pago. El ERP lo procesa de forma idempotente y actualiza el pedido.</w:t>
      </w:r>
    </w:p>
    <w:p>
      <w:pPr>
        <w:pStyle w:val="ListParagraph"/>
        <w:numPr>
          <w:ilvl w:val="0"/>
          <w:numId w:val="2"/>
        </w:numPr>
        <w:spacing w:after="60"/>
      </w:pPr>
      <w:r>
        <w:t xml:space="preserve">Vía webhook: BAC llama a /api/v1/webhooks/bac con el resultado (aprobado/rechazado); se registra en webhook_event.</w:t>
      </w:r>
    </w:p>
    <w:p>
      <w:pPr>
        <w:pStyle w:val="ListParagraph"/>
        <w:numPr>
          <w:ilvl w:val="0"/>
          <w:numId w:val="2"/>
        </w:numPr>
        <w:spacing w:after="60"/>
      </w:pPr>
      <w:r>
        <w:t xml:space="preserve">Alternativa/contingencia: conciliación con el reporte/notificación de compraCLICK si el webhook no está disponible.</w:t>
      </w:r>
    </w:p>
    <w:p>
      <w:pPr>
        <w:pStyle w:val="ListParagraph"/>
        <w:numPr>
          <w:ilvl w:val="0"/>
          <w:numId w:val="2"/>
        </w:numPr>
        <w:spacing w:after="60"/>
      </w:pPr>
      <w:r>
        <w:t xml:space="preserve">Al aprobarse: payment_link=PAID, se registra el pago (tabla payment), web_status=PAID y se descuenta inventario en firme.</w:t>
      </w:r>
    </w:p>
    <w:p>
      <w:pPr>
        <w:pStyle w:val="Heading1"/>
      </w:pPr>
      <w:r>
        <w:t xml:space="preserve">10. Facturación posterior</w:t>
      </w:r>
    </w:p>
    <w:p>
      <w:pPr>
        <w:spacing w:after="120"/>
      </w:pPr>
      <w:r>
        <w:t xml:space="preserve">Con el pago confirmado, el ERP emite el comprobante electrónico (FE o TE según el cliente) a través del microservicio fiscal, lo enlaza al pedido y al payment_link, y envía el comprobante al cliente. Por la normativa, conviene emitir el comprobante una vez confirmado el pago.</w:t>
      </w:r>
    </w:p>
    <w:p>
      <w:pPr>
        <w:pStyle w:val="Heading1"/>
      </w:pPr>
      <w:r>
        <w:t xml:space="preserve">11. Notificaciones al cliente</w:t>
      </w:r>
    </w:p>
    <w:p>
      <w:pPr>
        <w:spacing w:after="120"/>
      </w:pPr>
      <w:r>
        <w:t xml:space="preserve">Se reutiliza el módulo de notificaciones (WhatsApp/Email): confirmación de pedido recibido, envío del enlace de pago, confirmación de pago y envío de la factura, con plantillas configurables.</w:t>
      </w:r>
    </w:p>
    <w:p>
      <w:pPr>
        <w:pStyle w:val="Heading1"/>
      </w:pPr>
      <w:r>
        <w:t xml:space="preserve">12. Optimización y minimización de procesos</w:t>
      </w:r>
    </w:p>
    <w:p>
      <w:pPr>
        <w:pStyle w:val="ListParagraph"/>
        <w:numPr>
          <w:ilvl w:val="0"/>
          <w:numId w:val="2"/>
        </w:numPr>
        <w:spacing w:after="60"/>
      </w:pPr>
      <w:r>
        <w:t xml:space="preserve">Una sola llamada de validación de carrito (precio + stock + impuestos) antes del checkout: evita errores y reprocesos.</w:t>
      </w:r>
    </w:p>
    <w:p>
      <w:pPr>
        <w:pStyle w:val="ListParagraph"/>
        <w:numPr>
          <w:ilvl w:val="0"/>
          <w:numId w:val="2"/>
        </w:numPr>
        <w:spacing w:after="60"/>
      </w:pPr>
      <w:r>
        <w:t xml:space="preserve">Catálogo cacheado con sincronización incremental (since): menos llamadas y páginas más rápidas.</w:t>
      </w:r>
    </w:p>
    <w:p>
      <w:pPr>
        <w:pStyle w:val="ListParagraph"/>
        <w:numPr>
          <w:ilvl w:val="0"/>
          <w:numId w:val="2"/>
        </w:numPr>
        <w:spacing w:after="60"/>
      </w:pPr>
      <w:r>
        <w:t xml:space="preserve">Idempotencia en creación de pedidos y en webhooks: cero duplicados ante reintentos.</w:t>
      </w:r>
    </w:p>
    <w:p>
      <w:pPr>
        <w:pStyle w:val="ListParagraph"/>
        <w:numPr>
          <w:ilvl w:val="0"/>
          <w:numId w:val="2"/>
        </w:numPr>
        <w:spacing w:after="60"/>
      </w:pPr>
      <w:r>
        <w:t xml:space="preserve">Alta automática del cliente desde el pedido: sin recaptura.</w:t>
      </w:r>
    </w:p>
    <w:p>
      <w:pPr>
        <w:pStyle w:val="ListParagraph"/>
        <w:numPr>
          <w:ilvl w:val="0"/>
          <w:numId w:val="2"/>
        </w:numPr>
        <w:spacing w:after="60"/>
      </w:pPr>
      <w:r>
        <w:t xml:space="preserve">Reutilización del inventario, precios, fiscal y notificaciones del ERP: la web no duplica lógica.</w:t>
      </w:r>
    </w:p>
    <w:p>
      <w:pPr>
        <w:pStyle w:val="ListParagraph"/>
        <w:numPr>
          <w:ilvl w:val="0"/>
          <w:numId w:val="2"/>
        </w:numPr>
        <w:spacing w:after="60"/>
      </w:pPr>
      <w:r>
        <w:t xml:space="preserve">Reglas configurables (tipo de comprobante, lista de precios del canal web, reserva de stock al validar).</w:t>
      </w:r>
    </w:p>
    <w:p>
      <w:pPr>
        <w:pStyle w:val="ListParagraph"/>
        <w:numPr>
          <w:ilvl w:val="0"/>
          <w:numId w:val="2"/>
        </w:numPr>
        <w:spacing w:after="60"/>
      </w:pPr>
      <w:r>
        <w:t xml:space="preserve">Estados claros (web_status) y bandeja única para que el agente trabaje por excepción.</w:t>
      </w:r>
    </w:p>
    <w:p>
      <w:pPr>
        <w:pStyle w:val="Heading1"/>
      </w:pPr>
      <w:r>
        <w:t xml:space="preserve">13. Estados y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Entidad</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Campo</w:t>
            </w:r>
          </w:p>
        </w:tc>
        <w:tc>
          <w:tcPr>
            <w:tcW w:type="dxa" w:w="3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Valores</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sales_order</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channel</w:t>
            </w:r>
          </w:p>
        </w:tc>
        <w:tc>
          <w:tcPr>
            <w:tcW w:type="dxa" w:w="3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WEB / POS / PHONE / MANUAL</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sales_order</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web_status</w:t>
            </w:r>
          </w:p>
        </w:tc>
        <w:tc>
          <w:tcPr>
            <w:tcW w:type="dxa" w:w="3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RECEIVED → VALIDATED → AWAIT_PAYMENT → PAID (o REJECTED)</w:t>
            </w:r>
          </w:p>
        </w:tc>
      </w:tr>
      <w:tr>
        <w:trPr>
          <w:tblHeader w:val="false"/>
        </w:trPr>
        <w:tc>
          <w:tcPr>
            <w:tcW w:type="dxa" w:w="26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payment_link</w:t>
            </w:r>
          </w:p>
        </w:tc>
        <w:tc>
          <w:tcPr>
            <w:tcW w:type="dxa" w:w="30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status</w:t>
            </w:r>
          </w:p>
        </w:tc>
        <w:tc>
          <w:tcPr>
            <w:tcW w:type="dxa" w:w="37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CREATED → SENT → PAID (o EXPIRED/CANCELLED/FAILED)</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invoice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hacienda_status</w:t>
            </w:r>
          </w:p>
        </w:tc>
        <w:tc>
          <w:tcPr>
            <w:tcW w:type="dxa" w:w="3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PENDING → SENT → ACCEPTED / REJECTED</w:t>
            </w:r>
          </w:p>
        </w:tc>
      </w:tr>
    </w:tbl>
    <w:p>
      <w:pPr>
        <w:pStyle w:val="Heading1"/>
      </w:pPr>
      <w:r>
        <w:t xml:space="preserve">14. Manejo de errores e idempotencia</w:t>
      </w:r>
    </w:p>
    <w:p>
      <w:pPr>
        <w:pStyle w:val="ListParagraph"/>
        <w:numPr>
          <w:ilvl w:val="0"/>
          <w:numId w:val="2"/>
        </w:numPr>
        <w:spacing w:after="60"/>
      </w:pPr>
      <w:r>
        <w:t xml:space="preserve">Validaciones devuelven detalle por ítem (precio cambiado, sin stock) para que la web reaccione.</w:t>
      </w:r>
    </w:p>
    <w:p>
      <w:pPr>
        <w:pStyle w:val="ListParagraph"/>
        <w:numPr>
          <w:ilvl w:val="0"/>
          <w:numId w:val="2"/>
        </w:numPr>
        <w:spacing w:after="60"/>
      </w:pPr>
      <w:r>
        <w:t xml:space="preserve">Idempotency-Key en POST /orders; reenvío devuelve el mismo pedido, no uno nuevo.</w:t>
      </w:r>
    </w:p>
    <w:p>
      <w:pPr>
        <w:pStyle w:val="ListParagraph"/>
        <w:numPr>
          <w:ilvl w:val="0"/>
          <w:numId w:val="2"/>
        </w:numPr>
        <w:spacing w:after="60"/>
      </w:pPr>
      <w:r>
        <w:t xml:space="preserve">Webhooks con external_id único (tabla webhook_event); un evento repetido no se procesa dos veces.</w:t>
      </w:r>
    </w:p>
    <w:p>
      <w:pPr>
        <w:pStyle w:val="ListParagraph"/>
        <w:numPr>
          <w:ilvl w:val="0"/>
          <w:numId w:val="2"/>
        </w:numPr>
        <w:spacing w:after="60"/>
      </w:pPr>
      <w:r>
        <w:t xml:space="preserve">Tiempos de expiración del enlace de pago y reenvío controlado.</w:t>
      </w:r>
    </w:p>
    <w:p>
      <w:pPr>
        <w:pStyle w:val="Heading1"/>
      </w:pPr>
      <w:r>
        <w:t xml:space="preserve">15. Resumen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Endpoint</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Método</w:t>
            </w:r>
          </w:p>
        </w:tc>
        <w:tc>
          <w:tcPr>
            <w:tcW w:type="dxa" w:w="48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Propósito</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/api/v1/catalog</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Catálogo publicable (incremental)</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/api/v1/products/{sku}</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Detalle, precio y disponibilidad</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/api/v1/cart/validate</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Validar precios y stock del carrito</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/api/v1/orders</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Crear pedido (idempotente)</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/api/v1/orders/{id}</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GET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Estado del pedido</w:t>
            </w:r>
          </w:p>
        </w:tc>
      </w:tr>
      <w:tr>
        <w:trPr>
          <w:tblHeader w:val="false"/>
        </w:trP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/api/v1/orders/{id}/payment-link</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sz w:val="20"/>
                <w:szCs w:val="20"/>
              </w:rPr>
              <w:t xml:space="preserve">Generar y enviar enlace compraCLICK</w:t>
            </w:r>
          </w:p>
        </w:tc>
      </w:tr>
      <w:tr>
        <w:trPr>
          <w:tblHeader w:val="false"/>
        </w:trPr>
        <w:tc>
          <w:tcPr>
            <w:tcW w:type="dxa" w:w="34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/api/v1/webhooks/bac</w:t>
            </w:r>
          </w:p>
        </w:tc>
        <w:tc>
          <w:tcPr>
            <w:tcW w:type="dxa" w:w="110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POST</w:t>
            </w:r>
          </w:p>
        </w:tc>
        <w:tc>
          <w:tcPr>
            <w:tcW w:type="dxa" w:w="4860"/>
            <w:tcBorders>
              <w:top w:val="single" w:color="BFBFBF" w:sz="1"/>
              <w:left w:val="single" w:color="BFBFBF" w:sz="1"/>
              <w:bottom w:val="single" w:color="BFBFBF" w:sz="1"/>
              <w:right w:val="single" w:color="BFBFBF" w:sz="1"/>
            </w:tcBorders>
            <w:shd w:val="clear"/>
            <w:tcMar>
              <w:top w:type="dxa" w:w="60"/>
              <w:left w:type="dxa" w:w="100"/>
              <w:bottom w:type="dxa" w:w="60"/>
              <w:right w:type="dxa" w:w="100"/>
            </w:tcMar>
          </w:tcPr>
          <w:p>
            <w:r>
              <w:rPr>
                <w:b w:val="false"/>
                <w:bCs w:val="false"/>
                <w:sz w:val="20"/>
                <w:szCs w:val="20"/>
              </w:rPr>
              <w:t xml:space="preserve">Recibir confirmación de pago</w:t>
            </w:r>
          </w:p>
        </w:tc>
      </w:tr>
    </w:tbl>
    <w:p>
      <w:pPr>
        <w:pStyle w:val="Heading1"/>
      </w:pPr>
      <w:r>
        <w:t xml:space="preserve">16. Mapa al modelo de datos</w:t>
      </w:r>
    </w:p>
    <w:p>
      <w:pPr>
        <w:spacing w:after="120"/>
      </w:pPr>
      <w:r>
        <w:t xml:space="preserve">La integración reutiliza el esquema existente y agrega: api_client (autenticación de la web), payment_link (enlaces compraCLICK), webhook_event (eventos de pago), y los campos channel / external_ref / web_status en sales_order. La vista v_web_orders_pending alimenta la bandeja de pedidos web. El catálogo y precios provienen de product y price_list; el cliente, de partner; la factura, de invoice más el microservicio fiscal.</w:t>
      </w:r>
    </w:p>
    <w:p>
      <w:pPr>
        <w:pStyle w:val="Heading1"/>
      </w:pPr>
      <w:r>
        <w:t xml:space="preserve">17. Consideraciones de BAC compraCLICK</w:t>
      </w:r>
    </w:p>
    <w:p>
      <w:pPr>
        <w:pStyle w:val="ListParagraph"/>
        <w:numPr>
          <w:ilvl w:val="0"/>
          <w:numId w:val="2"/>
        </w:numPr>
        <w:spacing w:after="60"/>
      </w:pPr>
      <w:r>
        <w:t xml:space="preserve">Requiere afiliación de comercio con BAC, formulario y contrato; BAC entrega el manual de integración y realiza la certificación.</w:t>
      </w:r>
    </w:p>
    <w:p>
      <w:pPr>
        <w:pStyle w:val="ListParagraph"/>
        <w:numPr>
          <w:ilvl w:val="0"/>
          <w:numId w:val="2"/>
        </w:numPr>
        <w:spacing w:after="60"/>
      </w:pPr>
      <w:r>
        <w:t xml:space="preserve">El pago se procesa en la página segura de BAC con 3D Secure; acepta tarjetas locales e internacionales y cuotas.</w:t>
      </w:r>
    </w:p>
    <w:p>
      <w:pPr>
        <w:pStyle w:val="ListParagraph"/>
        <w:numPr>
          <w:ilvl w:val="0"/>
          <w:numId w:val="2"/>
        </w:numPr>
        <w:spacing w:after="60"/>
      </w:pPr>
      <w:r>
        <w:t xml:space="preserve">Costos referenciales en Costa Rica: implementación ~US$50 + IVA, mensualidad básica ~US$25 + IVA, comisión por transacción ~US$0,11 + IVA (verificar tarifas vigentes con BAC).</w:t>
      </w:r>
    </w:p>
    <w:p>
      <w:pPr>
        <w:pStyle w:val="ListParagraph"/>
        <w:numPr>
          <w:ilvl w:val="0"/>
          <w:numId w:val="2"/>
        </w:numPr>
        <w:spacing w:after="60"/>
      </w:pPr>
      <w:r>
        <w:t xml:space="preserve">La integración por API es responsabilidad del comercio; confirmar con BAC si ofrecen webhook de confirmación o si la conciliación es por reporte/notificación.</w:t>
      </w:r>
    </w:p>
    <w:p>
      <w:pPr>
        <w:spacing w:before="200"/>
      </w:pPr>
      <w:r>
        <w:rPr>
          <w:i/>
          <w:iCs/>
          <w:sz w:val="20"/>
          <w:szCs w:val="20"/>
        </w:rPr>
        <w:t xml:space="preserve">Descargo: detalles de compraCLICK basados en información pública de BAC a junio de 2026; las capacidades de API, webhooks y tarifas deben confirmarse con BAC al momento de la afiliación.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888888"/>
        <w:sz w:val="18"/>
        <w:szCs w:val="18"/>
      </w:rPr>
      <w:t xml:space="preserve">Proyecto ERP Retail · Documento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ERP Retail — Documento maestro</dc:title>
  <dc:creator>Cowork</dc:creator>
  <cp:lastModifiedBy>Un-named</cp:lastModifiedBy>
  <cp:revision>1</cp:revision>
  <dcterms:created xsi:type="dcterms:W3CDTF">2026-06-14T03:19:49.103Z</dcterms:created>
  <dcterms:modified xsi:type="dcterms:W3CDTF">2026-06-14T03:19:49.103Z</dcterms:modified>
</cp:coreProperties>
</file>

<file path=docProps/custom.xml><?xml version="1.0" encoding="utf-8"?>
<Properties xmlns="http://schemas.openxmlformats.org/officeDocument/2006/custom-properties" xmlns:vt="http://schemas.openxmlformats.org/officeDocument/2006/docPropsVTypes"/>
</file>