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8087B">
      <w:pPr>
        <w:spacing w:before="600"/>
        <w:jc w:val="center"/>
      </w:pPr>
      <w:r>
        <w:rPr>
          <w:b/>
          <w:color w:val="505050"/>
          <w:sz w:val="28"/>
        </w:rPr>
        <w:t>Universidad de las Américas (UDLA)</w:t>
      </w:r>
    </w:p>
    <w:p w14:paraId="4BD3443A">
      <w:pPr>
        <w:spacing w:before="900"/>
      </w:pPr>
    </w:p>
    <w:p w14:paraId="6A5E8A9E">
      <w:pPr>
        <w:jc w:val="center"/>
      </w:pPr>
      <w:r>
        <w:rPr>
          <w:b/>
          <w:color w:val="1F4E79"/>
          <w:sz w:val="40"/>
        </w:rPr>
        <w:t>INFORME FINAL DE PROYECTO</w:t>
      </w:r>
    </w:p>
    <w:p w14:paraId="0FBC8E8C">
      <w:pPr>
        <w:jc w:val="center"/>
      </w:pPr>
      <w:r>
        <w:rPr>
          <w:b/>
          <w:color w:val="1F4E79"/>
          <w:sz w:val="36"/>
        </w:rPr>
        <w:t>Proyecto Golden Hour</w:t>
      </w:r>
    </w:p>
    <w:p w14:paraId="1862B3FB">
      <w:pPr>
        <w:jc w:val="center"/>
      </w:pPr>
      <w:r>
        <w:rPr>
          <w:i/>
          <w:color w:val="505050"/>
          <w:sz w:val="24"/>
        </w:rPr>
        <w:t>Sistema de Detección Autónoma de Accidentes de Tráfico mediante Visión Artificial</w:t>
      </w:r>
    </w:p>
    <w:p w14:paraId="5E244279"/>
    <w:tbl>
      <w:tblPr>
        <w:tblStyle w:val="12"/>
        <w:tblW w:w="0" w:type="auto"/>
        <w:jc w:val="center"/>
        <w:tblLayout w:type="autofit"/>
        <w:tblCellMar>
          <w:top w:w="0" w:type="dxa"/>
          <w:left w:w="108" w:type="dxa"/>
          <w:bottom w:w="0" w:type="dxa"/>
          <w:right w:w="108" w:type="dxa"/>
        </w:tblCellMar>
      </w:tblPr>
      <w:tblGrid>
        <w:gridCol w:w="9622"/>
      </w:tblGrid>
      <w:tr w14:paraId="282127A6">
        <w:tblPrEx>
          <w:tblCellMar>
            <w:top w:w="0" w:type="dxa"/>
            <w:left w:w="108" w:type="dxa"/>
            <w:bottom w:w="0" w:type="dxa"/>
            <w:right w:w="108" w:type="dxa"/>
          </w:tblCellMar>
        </w:tblPrEx>
        <w:trPr>
          <w:trHeight w:val="2835" w:hRule="atLeast"/>
          <w:jc w:val="center"/>
        </w:trPr>
        <w:tc>
          <w:tcPr>
            <w:tcW w:w="9406" w:type="dxa"/>
            <w:tcBorders>
              <w:top w:val="single" w:color="808080" w:sz="12" w:space="0"/>
              <w:left w:val="single" w:color="808080" w:sz="12" w:space="0"/>
              <w:bottom w:val="single" w:color="808080" w:sz="12" w:space="0"/>
              <w:right w:val="single" w:color="808080" w:sz="12" w:space="0"/>
            </w:tcBorders>
            <w:shd w:val="clear" w:color="auto" w:fill="F2F2F2"/>
            <w:vAlign w:val="center"/>
          </w:tcPr>
          <w:p w14:paraId="3B22575F">
            <w:pPr>
              <w:jc w:val="center"/>
            </w:pPr>
            <w:r>
              <w:drawing>
                <wp:inline distT="0" distB="0" distL="114300" distR="114300">
                  <wp:extent cx="5968365" cy="2637155"/>
                  <wp:effectExtent l="0" t="0" r="13335" b="1079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8"/>
                          <a:stretch>
                            <a:fillRect/>
                          </a:stretch>
                        </pic:blipFill>
                        <pic:spPr>
                          <a:xfrm>
                            <a:off x="0" y="0"/>
                            <a:ext cx="5968365" cy="2637155"/>
                          </a:xfrm>
                          <a:prstGeom prst="rect">
                            <a:avLst/>
                          </a:prstGeom>
                          <a:noFill/>
                          <a:ln>
                            <a:noFill/>
                          </a:ln>
                        </pic:spPr>
                      </pic:pic>
                    </a:graphicData>
                  </a:graphic>
                </wp:inline>
              </w:drawing>
            </w:r>
            <w:r>
              <w:rPr>
                <w:rFonts w:ascii="Arial" w:hAnsi="Arial"/>
                <w:i/>
                <w:color w:val="5A5A5A"/>
                <w:sz w:val="18"/>
              </w:rPr>
              <w:t>.</w:t>
            </w:r>
          </w:p>
        </w:tc>
      </w:tr>
    </w:tbl>
    <w:p w14:paraId="64FF45A0"/>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13B63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03" w:type="dxa"/>
            <w:shd w:val="clear" w:color="auto" w:fill="D9EAF7"/>
            <w:vAlign w:val="center"/>
          </w:tcPr>
          <w:p w14:paraId="085ED9EC">
            <w:pPr>
              <w:spacing w:after="0"/>
            </w:pPr>
            <w:r>
              <w:rPr>
                <w:rFonts w:ascii="Arial" w:hAnsi="Arial"/>
                <w:b/>
              </w:rPr>
              <w:t>Nombre</w:t>
            </w:r>
          </w:p>
        </w:tc>
        <w:tc>
          <w:tcPr>
            <w:tcW w:w="4703" w:type="dxa"/>
            <w:vAlign w:val="center"/>
          </w:tcPr>
          <w:p w14:paraId="725FEFEB">
            <w:pPr>
              <w:spacing w:after="0"/>
            </w:pPr>
            <w:r>
              <w:rPr>
                <w:rFonts w:ascii="Arial" w:hAnsi="Arial"/>
              </w:rPr>
              <w:t>Mateo Puga</w:t>
            </w:r>
          </w:p>
        </w:tc>
      </w:tr>
      <w:tr w14:paraId="70EA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AF7"/>
            <w:vAlign w:val="center"/>
          </w:tcPr>
          <w:p w14:paraId="7E6127BF">
            <w:pPr>
              <w:spacing w:after="0"/>
            </w:pPr>
            <w:r>
              <w:rPr>
                <w:rFonts w:ascii="Arial" w:hAnsi="Arial"/>
                <w:b/>
              </w:rPr>
              <w:t>Materia</w:t>
            </w:r>
          </w:p>
        </w:tc>
        <w:tc>
          <w:tcPr>
            <w:tcW w:w="4703" w:type="dxa"/>
            <w:vAlign w:val="center"/>
          </w:tcPr>
          <w:p w14:paraId="4546C22C">
            <w:pPr>
              <w:spacing w:after="0"/>
            </w:pPr>
            <w:r>
              <w:rPr>
                <w:rFonts w:ascii="Arial" w:hAnsi="Arial"/>
              </w:rPr>
              <w:t>Inteligencia Artificial</w:t>
            </w:r>
          </w:p>
        </w:tc>
      </w:tr>
      <w:tr w14:paraId="2218A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AF7"/>
            <w:vAlign w:val="center"/>
          </w:tcPr>
          <w:p w14:paraId="232F10CE">
            <w:pPr>
              <w:spacing w:after="0"/>
            </w:pPr>
            <w:r>
              <w:rPr>
                <w:rFonts w:ascii="Arial" w:hAnsi="Arial"/>
                <w:b/>
              </w:rPr>
              <w:t>Fecha de elaboración</w:t>
            </w:r>
          </w:p>
        </w:tc>
        <w:tc>
          <w:tcPr>
            <w:tcW w:w="4703" w:type="dxa"/>
            <w:vAlign w:val="center"/>
          </w:tcPr>
          <w:p w14:paraId="72A1655F">
            <w:pPr>
              <w:spacing w:after="0"/>
            </w:pPr>
            <w:r>
              <w:rPr>
                <w:rFonts w:ascii="Arial" w:hAnsi="Arial"/>
              </w:rPr>
              <w:t>08/07/2026</w:t>
            </w:r>
          </w:p>
        </w:tc>
      </w:tr>
      <w:tr w14:paraId="0CD4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AF7"/>
            <w:vAlign w:val="center"/>
          </w:tcPr>
          <w:p w14:paraId="438D36D7">
            <w:pPr>
              <w:spacing w:after="0"/>
            </w:pPr>
            <w:r>
              <w:rPr>
                <w:rFonts w:ascii="Arial" w:hAnsi="Arial"/>
                <w:b/>
              </w:rPr>
              <w:t>Institución</w:t>
            </w:r>
          </w:p>
        </w:tc>
        <w:tc>
          <w:tcPr>
            <w:tcW w:w="4703" w:type="dxa"/>
            <w:vAlign w:val="center"/>
          </w:tcPr>
          <w:p w14:paraId="78AC4D3B">
            <w:pPr>
              <w:spacing w:after="0"/>
            </w:pPr>
            <w:r>
              <w:rPr>
                <w:rFonts w:ascii="Arial" w:hAnsi="Arial"/>
              </w:rPr>
              <w:t>Universidad de las Américas (UDLA)</w:t>
            </w:r>
          </w:p>
        </w:tc>
      </w:tr>
    </w:tbl>
    <w:p w14:paraId="43EA1A61">
      <w:r>
        <w:br w:type="page"/>
      </w:r>
    </w:p>
    <w:p w14:paraId="53EAE1C1">
      <w:pPr>
        <w:pStyle w:val="2"/>
      </w:pPr>
      <w:r>
        <w:t>Índice de contenidos</w:t>
      </w:r>
    </w:p>
    <w:p w14:paraId="7C39FDC6">
      <w:pPr>
        <w:pStyle w:val="30"/>
      </w:pPr>
      <w:r>
        <w:t>1. Datos generales del proyecto</w:t>
      </w:r>
    </w:p>
    <w:p w14:paraId="7ED9A625">
      <w:pPr>
        <w:pStyle w:val="30"/>
      </w:pPr>
      <w:r>
        <w:t>2. Resumen</w:t>
      </w:r>
    </w:p>
    <w:p w14:paraId="6DEAE5A2">
      <w:pPr>
        <w:pStyle w:val="30"/>
      </w:pPr>
      <w:r>
        <w:t>3. Introducción</w:t>
      </w:r>
    </w:p>
    <w:p w14:paraId="34F355B9">
      <w:pPr>
        <w:pStyle w:val="30"/>
      </w:pPr>
      <w:r>
        <w:t>4. Implementación: diseño e ingeniería del sistema</w:t>
      </w:r>
    </w:p>
    <w:p w14:paraId="3644D31F">
      <w:pPr>
        <w:pStyle w:val="30"/>
      </w:pPr>
      <w:r>
        <w:t>5. Evaluación y análisis comparativo</w:t>
      </w:r>
    </w:p>
    <w:p w14:paraId="762FCEBF">
      <w:pPr>
        <w:pStyle w:val="30"/>
      </w:pPr>
      <w:r>
        <w:t>6. Reflexión del proyecto</w:t>
      </w:r>
    </w:p>
    <w:p w14:paraId="7D98F566">
      <w:pPr>
        <w:pStyle w:val="30"/>
      </w:pPr>
      <w:r>
        <w:t>7. Conclusiones y trabajo futuro</w:t>
      </w:r>
    </w:p>
    <w:p w14:paraId="66D52DA1">
      <w:pPr>
        <w:pStyle w:val="30"/>
      </w:pPr>
      <w:r>
        <w:t>8. Bibliografía</w:t>
      </w:r>
    </w:p>
    <w:p w14:paraId="14D92709">
      <w:pPr>
        <w:pStyle w:val="30"/>
      </w:pPr>
      <w:r>
        <w:t>9. Anexos</w:t>
      </w:r>
    </w:p>
    <w:p w14:paraId="3F918675">
      <w:pPr>
        <w:pStyle w:val="165"/>
      </w:pPr>
      <w:r>
        <w:t>Nota: los espacios de fotos están marcados como recuadros grises para reemplazarlos por capturas o evidencias del proyecto.</w:t>
      </w:r>
    </w:p>
    <w:p w14:paraId="75C582D8">
      <w:r>
        <w:br w:type="page"/>
      </w:r>
    </w:p>
    <w:p w14:paraId="51B03E23">
      <w:pPr>
        <w:pStyle w:val="2"/>
      </w:pPr>
      <w:r>
        <w:t>1. Datos generales del proyecto</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6E02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AF7"/>
            <w:vAlign w:val="center"/>
          </w:tcPr>
          <w:p w14:paraId="1C184C41">
            <w:pPr>
              <w:spacing w:after="0"/>
            </w:pPr>
            <w:r>
              <w:rPr>
                <w:rFonts w:ascii="Arial" w:hAnsi="Arial"/>
                <w:b/>
              </w:rPr>
              <w:t>Nombre del proyecto</w:t>
            </w:r>
          </w:p>
        </w:tc>
        <w:tc>
          <w:tcPr>
            <w:tcW w:w="4703" w:type="dxa"/>
            <w:vAlign w:val="center"/>
          </w:tcPr>
          <w:p w14:paraId="4C0E7C49">
            <w:pPr>
              <w:spacing w:after="0"/>
            </w:pPr>
            <w:r>
              <w:rPr>
                <w:rFonts w:ascii="Arial" w:hAnsi="Arial"/>
              </w:rPr>
              <w:t>Proyecto Golden Hour: Sistema de Detección Autónoma de Accidentes de Tráfico mediante Visión Artificial</w:t>
            </w:r>
          </w:p>
        </w:tc>
      </w:tr>
      <w:tr w14:paraId="45A1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AF7"/>
            <w:vAlign w:val="center"/>
          </w:tcPr>
          <w:p w14:paraId="382D74A6">
            <w:pPr>
              <w:spacing w:after="0"/>
            </w:pPr>
            <w:r>
              <w:rPr>
                <w:rFonts w:ascii="Arial" w:hAnsi="Arial"/>
                <w:b/>
              </w:rPr>
              <w:t>Materia</w:t>
            </w:r>
          </w:p>
        </w:tc>
        <w:tc>
          <w:tcPr>
            <w:tcW w:w="4703" w:type="dxa"/>
            <w:vAlign w:val="center"/>
          </w:tcPr>
          <w:p w14:paraId="21C2B9B6">
            <w:pPr>
              <w:spacing w:after="0"/>
            </w:pPr>
            <w:r>
              <w:rPr>
                <w:rFonts w:ascii="Arial" w:hAnsi="Arial"/>
              </w:rPr>
              <w:t>Inteligencia Artificial</w:t>
            </w:r>
          </w:p>
        </w:tc>
      </w:tr>
      <w:tr w14:paraId="1A8F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AF7"/>
            <w:vAlign w:val="center"/>
          </w:tcPr>
          <w:p w14:paraId="4DA8F920">
            <w:pPr>
              <w:spacing w:after="0"/>
            </w:pPr>
            <w:r>
              <w:rPr>
                <w:rFonts w:ascii="Arial" w:hAnsi="Arial"/>
                <w:b/>
              </w:rPr>
              <w:t>Integrante</w:t>
            </w:r>
          </w:p>
        </w:tc>
        <w:tc>
          <w:tcPr>
            <w:tcW w:w="4703" w:type="dxa"/>
            <w:vAlign w:val="center"/>
          </w:tcPr>
          <w:p w14:paraId="206263F4">
            <w:pPr>
              <w:spacing w:after="0"/>
            </w:pPr>
            <w:r>
              <w:rPr>
                <w:rFonts w:ascii="Arial" w:hAnsi="Arial"/>
              </w:rPr>
              <w:t>Mateo Puga</w:t>
            </w:r>
          </w:p>
        </w:tc>
      </w:tr>
      <w:tr w14:paraId="42EC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AF7"/>
            <w:vAlign w:val="center"/>
          </w:tcPr>
          <w:p w14:paraId="21EC1BD7">
            <w:pPr>
              <w:spacing w:after="0"/>
            </w:pPr>
            <w:r>
              <w:rPr>
                <w:rFonts w:ascii="Arial" w:hAnsi="Arial"/>
                <w:b/>
              </w:rPr>
              <w:t>Fecha</w:t>
            </w:r>
          </w:p>
        </w:tc>
        <w:tc>
          <w:tcPr>
            <w:tcW w:w="4703" w:type="dxa"/>
            <w:vAlign w:val="center"/>
          </w:tcPr>
          <w:p w14:paraId="5D6927D7">
            <w:pPr>
              <w:spacing w:after="0"/>
            </w:pPr>
            <w:r>
              <w:rPr>
                <w:rFonts w:ascii="Arial" w:hAnsi="Arial"/>
              </w:rPr>
              <w:t>08/07/2026</w:t>
            </w:r>
          </w:p>
        </w:tc>
      </w:tr>
      <w:tr w14:paraId="3F0C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AF7"/>
            <w:vAlign w:val="center"/>
          </w:tcPr>
          <w:p w14:paraId="65B2BE23">
            <w:pPr>
              <w:spacing w:after="0"/>
            </w:pPr>
            <w:r>
              <w:rPr>
                <w:rFonts w:ascii="Arial" w:hAnsi="Arial"/>
                <w:b/>
              </w:rPr>
              <w:t>Institución</w:t>
            </w:r>
          </w:p>
        </w:tc>
        <w:tc>
          <w:tcPr>
            <w:tcW w:w="4703" w:type="dxa"/>
            <w:vAlign w:val="center"/>
          </w:tcPr>
          <w:p w14:paraId="745D6BD1">
            <w:pPr>
              <w:spacing w:after="0"/>
            </w:pPr>
            <w:r>
              <w:rPr>
                <w:rFonts w:ascii="Arial" w:hAnsi="Arial"/>
              </w:rPr>
              <w:t>Universidad de las Américas (UDLA)</w:t>
            </w:r>
          </w:p>
        </w:tc>
      </w:tr>
    </w:tbl>
    <w:p w14:paraId="6DB33CC2">
      <w:pPr>
        <w:pStyle w:val="2"/>
      </w:pPr>
      <w:r>
        <w:t>2. Resumen</w:t>
      </w:r>
    </w:p>
    <w:p w14:paraId="15186476">
      <w:r>
        <w:t>Este proyecto presenta el diseño, desarrollo e implementación del Proyecto Golden Hour, una plataforma autónoma de detección en tiempo real de colisiones de tráfico a partir de transmisiones de video CCTV. Utilizando la arquitectura de red neuronal convolucional YOLOv8 y transferencia de aprendizaje (Transfer Learning), se entrenó un modelo especializado para identificar la clase única accidente al aprender la superposición física e impacto de vehículos en la vía pública.</w:t>
      </w:r>
    </w:p>
    <w:p w14:paraId="3241709E">
      <w:r>
        <w:t>Los resultados arrojaron una sensibilidad (Recall) del 84.9%, precisión del 70.9% y un mAP50 del 84.6% tras 25 épocas en CPU. Además, se implementó una interfaz de control interactiva en Streamlit que permite a los operadores de videovigilancia ajustar umbrales de confianza, capturar marcas de tiempo exactas del impacto en segundos y contrastar los resultados del modelo propuesto contra un método tradicional de traslape geométrico, conocido como Intersection over Union (IoU).</w:t>
      </w:r>
    </w:p>
    <w:p w14:paraId="4CAF41C7">
      <w:r>
        <w:t>La integración de estas tecnologías elimina el tiempo ciego en reportes viales y demuestra ser una solución de ingeniería de software altamente escalable y costo-efectiva para la infraestructura de ciudades inteligentes.</w:t>
      </w:r>
    </w:p>
    <w:tbl>
      <w:tblPr>
        <w:tblStyle w:val="12"/>
        <w:tblW w:w="0" w:type="auto"/>
        <w:jc w:val="center"/>
        <w:tblLayout w:type="autofit"/>
        <w:tblCellMar>
          <w:top w:w="0" w:type="dxa"/>
          <w:left w:w="108" w:type="dxa"/>
          <w:bottom w:w="0" w:type="dxa"/>
          <w:right w:w="108" w:type="dxa"/>
        </w:tblCellMar>
      </w:tblPr>
      <w:tblGrid>
        <w:gridCol w:w="9622"/>
      </w:tblGrid>
      <w:tr w14:paraId="5AC4BC0A">
        <w:tblPrEx>
          <w:tblCellMar>
            <w:top w:w="0" w:type="dxa"/>
            <w:left w:w="108" w:type="dxa"/>
            <w:bottom w:w="0" w:type="dxa"/>
            <w:right w:w="108" w:type="dxa"/>
          </w:tblCellMar>
        </w:tblPrEx>
        <w:trPr>
          <w:trHeight w:val="1927" w:hRule="atLeast"/>
          <w:jc w:val="center"/>
        </w:trPr>
        <w:tc>
          <w:tcPr>
            <w:tcW w:w="9406" w:type="dxa"/>
            <w:tcBorders>
              <w:top w:val="single" w:color="808080" w:sz="12" w:space="0"/>
              <w:left w:val="single" w:color="808080" w:sz="12" w:space="0"/>
              <w:bottom w:val="single" w:color="808080" w:sz="12" w:space="0"/>
              <w:right w:val="single" w:color="808080" w:sz="12" w:space="0"/>
            </w:tcBorders>
            <w:shd w:val="clear" w:color="auto" w:fill="F2F2F2"/>
            <w:vAlign w:val="center"/>
          </w:tcPr>
          <w:p w14:paraId="7AD876B0">
            <w:pPr>
              <w:jc w:val="center"/>
            </w:pPr>
            <w:r>
              <w:drawing>
                <wp:inline distT="0" distB="0" distL="114300" distR="114300">
                  <wp:extent cx="5971540" cy="2631440"/>
                  <wp:effectExtent l="0" t="0" r="10160" b="165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9"/>
                          <a:stretch>
                            <a:fillRect/>
                          </a:stretch>
                        </pic:blipFill>
                        <pic:spPr>
                          <a:xfrm>
                            <a:off x="0" y="0"/>
                            <a:ext cx="5971540" cy="2631440"/>
                          </a:xfrm>
                          <a:prstGeom prst="rect">
                            <a:avLst/>
                          </a:prstGeom>
                          <a:noFill/>
                          <a:ln>
                            <a:noFill/>
                          </a:ln>
                        </pic:spPr>
                      </pic:pic>
                    </a:graphicData>
                  </a:graphic>
                </wp:inline>
              </w:drawing>
            </w:r>
          </w:p>
        </w:tc>
      </w:tr>
    </w:tbl>
    <w:p w14:paraId="60407841">
      <w:pPr>
        <w:pStyle w:val="2"/>
      </w:pPr>
      <w:r>
        <w:t>3. Introducción</w:t>
      </w:r>
    </w:p>
    <w:p w14:paraId="48CB2871">
      <w:r>
        <w:t>Las colisiones de tráfico representan una de las principales causas de mortalidad y lesiones graves en entornos urbanos a nivel global. En la medicina de emergencias existe el principio fundamental de la Hora Dorada (Golden Hour), el cual establece que la probabilidad de supervivencia y recuperación total de una víctima grave de traumatismo vial aumenta si recibe atención hospitalaria y estabilización dentro de los primeros 60 minutos posteriores al impacto.</w:t>
      </w:r>
    </w:p>
    <w:p w14:paraId="1B2096DD">
      <w:r>
        <w:t>Actualmente, el despacho de servicios de emergencia, como el 911, presenta un cuello de botella crítico: la dependencia de testigos humanos para reportar el accidente. Si los involucrados quedan incapacitados y no hay transeúntes, la colisión puede pasar desapercibida por minutos u horas, perdiendo la valiosa ventana de la Hora Dorada. Por otra parte, las cámaras de videovigilancia municipales (CCTV) suelen ser monitoreadas de forma manual por operadores propensos a la fatiga visual.</w:t>
      </w:r>
    </w:p>
    <w:p w14:paraId="42C152A0">
      <w:r>
        <w:t>Para resolver esta problemática, el Proyecto Golden Hour propone la automatización del monitoreo mediante visión computacional activa. La propuesta implementada procesa streams de video frame a frame y ejecuta modelos matemáticos convolucionales que detectan instantáneamente el accidente y generan una bitácora con marcas temporales precisas. De esta manera, se reduce el lapso de aviso vial a milisegundos y se posibilita una respuesta autónoma inmediata.</w:t>
      </w:r>
    </w:p>
    <w:tbl>
      <w:tblPr>
        <w:tblStyle w:val="12"/>
        <w:tblW w:w="0" w:type="auto"/>
        <w:jc w:val="center"/>
        <w:tblLayout w:type="autofit"/>
        <w:tblCellMar>
          <w:top w:w="0" w:type="dxa"/>
          <w:left w:w="108" w:type="dxa"/>
          <w:bottom w:w="0" w:type="dxa"/>
          <w:right w:w="108" w:type="dxa"/>
        </w:tblCellMar>
      </w:tblPr>
      <w:tblGrid>
        <w:gridCol w:w="9622"/>
      </w:tblGrid>
      <w:tr w14:paraId="4E2A6413">
        <w:tblPrEx>
          <w:tblCellMar>
            <w:top w:w="0" w:type="dxa"/>
            <w:left w:w="108" w:type="dxa"/>
            <w:bottom w:w="0" w:type="dxa"/>
            <w:right w:w="108" w:type="dxa"/>
          </w:tblCellMar>
        </w:tblPrEx>
        <w:trPr>
          <w:trHeight w:val="1814" w:hRule="atLeast"/>
          <w:jc w:val="center"/>
        </w:trPr>
        <w:tc>
          <w:tcPr>
            <w:tcW w:w="9406" w:type="dxa"/>
            <w:tcBorders>
              <w:top w:val="single" w:color="808080" w:sz="12" w:space="0"/>
              <w:left w:val="single" w:color="808080" w:sz="12" w:space="0"/>
              <w:bottom w:val="single" w:color="808080" w:sz="12" w:space="0"/>
              <w:right w:val="single" w:color="808080" w:sz="12" w:space="0"/>
            </w:tcBorders>
            <w:shd w:val="clear" w:color="auto" w:fill="F2F2F2"/>
            <w:vAlign w:val="center"/>
          </w:tcPr>
          <w:p w14:paraId="2D0AA7F0">
            <w:pPr>
              <w:jc w:val="center"/>
            </w:pPr>
            <w:r>
              <w:drawing>
                <wp:inline distT="0" distB="0" distL="114300" distR="114300">
                  <wp:extent cx="5965190" cy="2785745"/>
                  <wp:effectExtent l="0" t="0" r="16510" b="146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0"/>
                          <a:stretch>
                            <a:fillRect/>
                          </a:stretch>
                        </pic:blipFill>
                        <pic:spPr>
                          <a:xfrm>
                            <a:off x="0" y="0"/>
                            <a:ext cx="5965190" cy="2785745"/>
                          </a:xfrm>
                          <a:prstGeom prst="rect">
                            <a:avLst/>
                          </a:prstGeom>
                          <a:noFill/>
                          <a:ln>
                            <a:noFill/>
                          </a:ln>
                        </pic:spPr>
                      </pic:pic>
                    </a:graphicData>
                  </a:graphic>
                </wp:inline>
              </w:drawing>
            </w:r>
          </w:p>
        </w:tc>
      </w:tr>
    </w:tbl>
    <w:p w14:paraId="63E39AA0">
      <w:pPr>
        <w:pStyle w:val="2"/>
      </w:pPr>
    </w:p>
    <w:p w14:paraId="7E0EE596">
      <w:pPr>
        <w:pStyle w:val="2"/>
      </w:pPr>
    </w:p>
    <w:p w14:paraId="39FF7FF3">
      <w:pPr>
        <w:pStyle w:val="2"/>
      </w:pPr>
    </w:p>
    <w:p w14:paraId="0696FE9D">
      <w:pPr>
        <w:pStyle w:val="2"/>
      </w:pPr>
    </w:p>
    <w:p w14:paraId="5A8FCD71">
      <w:pPr>
        <w:pStyle w:val="2"/>
      </w:pPr>
      <w:r>
        <w:t>4. Implementación: diseño e ingeniería del sistema</w:t>
      </w:r>
    </w:p>
    <w:p w14:paraId="62EC21D0">
      <w:r>
        <w:t>La arquitectura del sistema propuesto se divide en cuatro fases metodológicas estructuradas:</w:t>
      </w:r>
    </w:p>
    <w:p w14:paraId="4AFD949F">
      <w:r>
        <w:drawing>
          <wp:inline distT="0" distB="0" distL="114300" distR="114300">
            <wp:extent cx="2622550" cy="4011930"/>
            <wp:effectExtent l="0" t="0" r="635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1"/>
                    <a:stretch>
                      <a:fillRect/>
                    </a:stretch>
                  </pic:blipFill>
                  <pic:spPr>
                    <a:xfrm>
                      <a:off x="0" y="0"/>
                      <a:ext cx="2622550" cy="4011930"/>
                    </a:xfrm>
                    <a:prstGeom prst="rect">
                      <a:avLst/>
                    </a:prstGeom>
                    <a:noFill/>
                    <a:ln>
                      <a:noFill/>
                    </a:ln>
                  </pic:spPr>
                </pic:pic>
              </a:graphicData>
            </a:graphic>
          </wp:inline>
        </w:drawing>
      </w:r>
      <w:r>
        <w:rPr>
          <w:rFonts w:hint="default"/>
          <w:lang w:val="es-ES"/>
        </w:rPr>
        <w:t xml:space="preserve"> </w:t>
      </w:r>
      <w:r>
        <w:drawing>
          <wp:inline distT="0" distB="0" distL="114300" distR="114300">
            <wp:extent cx="2466975" cy="401002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2"/>
                    <a:stretch>
                      <a:fillRect/>
                    </a:stretch>
                  </pic:blipFill>
                  <pic:spPr>
                    <a:xfrm>
                      <a:off x="0" y="0"/>
                      <a:ext cx="2466975" cy="4010025"/>
                    </a:xfrm>
                    <a:prstGeom prst="rect">
                      <a:avLst/>
                    </a:prstGeom>
                    <a:noFill/>
                    <a:ln>
                      <a:noFill/>
                    </a:ln>
                  </pic:spPr>
                </pic:pic>
              </a:graphicData>
            </a:graphic>
          </wp:inline>
        </w:drawing>
      </w:r>
    </w:p>
    <w:p w14:paraId="53642DE8">
      <w:pPr>
        <w:rPr>
          <w:rFonts w:hint="default"/>
          <w:lang w:val="es-ES"/>
        </w:rPr>
      </w:pPr>
      <w:r>
        <w:drawing>
          <wp:inline distT="0" distB="0" distL="114300" distR="114300">
            <wp:extent cx="2367280" cy="3891280"/>
            <wp:effectExtent l="0" t="0" r="13970" b="139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3"/>
                    <a:stretch>
                      <a:fillRect/>
                    </a:stretch>
                  </pic:blipFill>
                  <pic:spPr>
                    <a:xfrm>
                      <a:off x="0" y="0"/>
                      <a:ext cx="2367280" cy="3891280"/>
                    </a:xfrm>
                    <a:prstGeom prst="rect">
                      <a:avLst/>
                    </a:prstGeom>
                    <a:noFill/>
                    <a:ln>
                      <a:noFill/>
                    </a:ln>
                  </pic:spPr>
                </pic:pic>
              </a:graphicData>
            </a:graphic>
          </wp:inline>
        </w:drawing>
      </w:r>
      <w:r>
        <w:rPr>
          <w:rFonts w:hint="default"/>
          <w:lang w:val="es-ES"/>
        </w:rPr>
        <w:t xml:space="preserve">   </w:t>
      </w:r>
      <w:r>
        <w:drawing>
          <wp:inline distT="0" distB="0" distL="114300" distR="114300">
            <wp:extent cx="2838450" cy="38576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4"/>
                    <a:stretch>
                      <a:fillRect/>
                    </a:stretch>
                  </pic:blipFill>
                  <pic:spPr>
                    <a:xfrm>
                      <a:off x="0" y="0"/>
                      <a:ext cx="2838450" cy="3857625"/>
                    </a:xfrm>
                    <a:prstGeom prst="rect">
                      <a:avLst/>
                    </a:prstGeom>
                    <a:noFill/>
                    <a:ln>
                      <a:noFill/>
                    </a:ln>
                  </pic:spPr>
                </pic:pic>
              </a:graphicData>
            </a:graphic>
          </wp:inline>
        </w:drawing>
      </w:r>
      <w:r>
        <w:rPr>
          <w:rFonts w:hint="default"/>
          <w:lang w:val="es-ES"/>
        </w:rPr>
        <w:t xml:space="preserve">                             a                                                                 </w:t>
      </w:r>
      <w:r>
        <w:drawing>
          <wp:inline distT="0" distB="0" distL="114300" distR="114300">
            <wp:extent cx="2552700" cy="42005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5"/>
                    <a:stretch>
                      <a:fillRect/>
                    </a:stretch>
                  </pic:blipFill>
                  <pic:spPr>
                    <a:xfrm>
                      <a:off x="0" y="0"/>
                      <a:ext cx="2552700" cy="4200525"/>
                    </a:xfrm>
                    <a:prstGeom prst="rect">
                      <a:avLst/>
                    </a:prstGeom>
                    <a:noFill/>
                    <a:ln>
                      <a:noFill/>
                    </a:ln>
                  </pic:spPr>
                </pic:pic>
              </a:graphicData>
            </a:graphic>
          </wp:inline>
        </w:drawing>
      </w:r>
      <w:r>
        <w:rPr>
          <w:rFonts w:hint="default"/>
          <w:lang w:val="es-ES"/>
        </w:rPr>
        <w:t xml:space="preserve"> </w:t>
      </w:r>
    </w:p>
    <w:p w14:paraId="2A009148">
      <w:pPr>
        <w:pStyle w:val="3"/>
      </w:pPr>
      <w:r>
        <w:t>4.1. Fase 1: Extracción y curación de datos</w:t>
      </w:r>
    </w:p>
    <w:p w14:paraId="49D2D46B">
      <w:r>
        <w:t>Utilizando la biblioteca OpenCV, se desarrolló un pipeline para abrir videos del dataset Video-Accident-Dataset. El script lee el flujo y extrae imágenes fijas (.jpg) a intervalos regulares de 10 frames para evitar datos redundantes.</w:t>
      </w:r>
    </w:p>
    <w:tbl>
      <w:tblPr>
        <w:tblStyle w:val="12"/>
        <w:tblW w:w="0" w:type="auto"/>
        <w:jc w:val="center"/>
        <w:tblLayout w:type="autofit"/>
        <w:tblCellMar>
          <w:top w:w="0" w:type="dxa"/>
          <w:left w:w="108" w:type="dxa"/>
          <w:bottom w:w="0" w:type="dxa"/>
          <w:right w:w="108" w:type="dxa"/>
        </w:tblCellMar>
      </w:tblPr>
      <w:tblGrid>
        <w:gridCol w:w="9622"/>
      </w:tblGrid>
      <w:tr w14:paraId="3C75799C">
        <w:tblPrEx>
          <w:tblCellMar>
            <w:top w:w="0" w:type="dxa"/>
            <w:left w:w="108" w:type="dxa"/>
            <w:bottom w:w="0" w:type="dxa"/>
            <w:right w:w="108" w:type="dxa"/>
          </w:tblCellMar>
        </w:tblPrEx>
        <w:trPr>
          <w:trHeight w:val="1701" w:hRule="atLeast"/>
          <w:jc w:val="center"/>
        </w:trPr>
        <w:tc>
          <w:tcPr>
            <w:tcW w:w="9406" w:type="dxa"/>
            <w:tcBorders>
              <w:top w:val="single" w:color="808080" w:sz="12" w:space="0"/>
              <w:left w:val="single" w:color="808080" w:sz="12" w:space="0"/>
              <w:bottom w:val="single" w:color="808080" w:sz="12" w:space="0"/>
              <w:right w:val="single" w:color="808080" w:sz="12" w:space="0"/>
            </w:tcBorders>
            <w:shd w:val="clear" w:color="auto" w:fill="F2F2F2"/>
            <w:vAlign w:val="center"/>
          </w:tcPr>
          <w:p w14:paraId="5471DE0C">
            <w:pPr>
              <w:jc w:val="center"/>
            </w:pPr>
            <w:r>
              <w:drawing>
                <wp:inline distT="0" distB="0" distL="114300" distR="114300">
                  <wp:extent cx="5964555" cy="3643630"/>
                  <wp:effectExtent l="0" t="0" r="17145" b="139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16"/>
                          <a:stretch>
                            <a:fillRect/>
                          </a:stretch>
                        </pic:blipFill>
                        <pic:spPr>
                          <a:xfrm>
                            <a:off x="0" y="0"/>
                            <a:ext cx="5964555" cy="3643630"/>
                          </a:xfrm>
                          <a:prstGeom prst="rect">
                            <a:avLst/>
                          </a:prstGeom>
                          <a:noFill/>
                          <a:ln>
                            <a:noFill/>
                          </a:ln>
                        </pic:spPr>
                      </pic:pic>
                    </a:graphicData>
                  </a:graphic>
                </wp:inline>
              </w:drawing>
            </w:r>
          </w:p>
        </w:tc>
      </w:tr>
    </w:tbl>
    <w:p w14:paraId="3A7A2784">
      <w:pPr>
        <w:pStyle w:val="3"/>
      </w:pPr>
      <w:r>
        <w:t>4.2. Fase 2: Lógica de anotación y configuración del dataset</w:t>
      </w:r>
    </w:p>
    <w:p w14:paraId="4221AD44">
      <w:r>
        <w:t>Las imágenes extraídas se cargaron en MakeSense.ai. Se utilizó una lógica de anotación particular: en lugar de etiquetar cada auto por separado, se agrupó el bloque entero de la colisión bajo la etiqueta única accidente. Esto fuerza a la red convolucional a aprender la geometría, deformación e intersección de los autos, en lugar de memorizar vehículos individuales estándar. Los límites se exportaron en formato YOLO (.txt) y se estructuró el directorio de datos bajo Data-Guardada/.</w:t>
      </w:r>
    </w:p>
    <w:tbl>
      <w:tblPr>
        <w:tblStyle w:val="12"/>
        <w:tblW w:w="0" w:type="auto"/>
        <w:jc w:val="center"/>
        <w:tblLayout w:type="autofit"/>
        <w:tblCellMar>
          <w:top w:w="0" w:type="dxa"/>
          <w:left w:w="108" w:type="dxa"/>
          <w:bottom w:w="0" w:type="dxa"/>
          <w:right w:w="108" w:type="dxa"/>
        </w:tblCellMar>
      </w:tblPr>
      <w:tblGrid>
        <w:gridCol w:w="9606"/>
      </w:tblGrid>
      <w:tr w14:paraId="077BFB16">
        <w:trPr>
          <w:trHeight w:val="1701" w:hRule="atLeast"/>
          <w:jc w:val="center"/>
        </w:trPr>
        <w:tc>
          <w:tcPr>
            <w:tcW w:w="9406" w:type="dxa"/>
            <w:tcBorders>
              <w:top w:val="single" w:color="808080" w:sz="12" w:space="0"/>
              <w:left w:val="single" w:color="808080" w:sz="12" w:space="0"/>
              <w:bottom w:val="single" w:color="808080" w:sz="12" w:space="0"/>
              <w:right w:val="single" w:color="808080" w:sz="12" w:space="0"/>
            </w:tcBorders>
            <w:shd w:val="clear" w:color="auto" w:fill="F2F2F2"/>
            <w:vAlign w:val="center"/>
          </w:tcPr>
          <w:p w14:paraId="164A7298">
            <w:pPr>
              <w:jc w:val="center"/>
            </w:pPr>
            <w:r>
              <w:drawing>
                <wp:inline distT="0" distB="0" distL="114300" distR="114300">
                  <wp:extent cx="5962015" cy="5962015"/>
                  <wp:effectExtent l="0" t="0" r="635"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pic:cNvPicPr>
                        </pic:nvPicPr>
                        <pic:blipFill>
                          <a:blip r:embed="rId17"/>
                          <a:stretch>
                            <a:fillRect/>
                          </a:stretch>
                        </pic:blipFill>
                        <pic:spPr>
                          <a:xfrm>
                            <a:off x="0" y="0"/>
                            <a:ext cx="5962015" cy="5962015"/>
                          </a:xfrm>
                          <a:prstGeom prst="rect">
                            <a:avLst/>
                          </a:prstGeom>
                          <a:noFill/>
                          <a:ln>
                            <a:noFill/>
                          </a:ln>
                        </pic:spPr>
                      </pic:pic>
                    </a:graphicData>
                  </a:graphic>
                </wp:inline>
              </w:drawing>
            </w:r>
          </w:p>
        </w:tc>
      </w:tr>
    </w:tbl>
    <w:p w14:paraId="25478DA2">
      <w:pPr>
        <w:pStyle w:val="3"/>
      </w:pPr>
      <w:r>
        <w:t>4.3. Fase 3: Entrenamiento e inferencia incremental</w:t>
      </w:r>
    </w:p>
    <w:p w14:paraId="1300875E">
      <w:r>
        <w:t>Se cargó el modelo preentrenado liviano YOLOv8-Nano (yolov8n.pt). Mediante Transfer Learning, se especializó la red con el dataset local durante 25 épocas en CPU. Para fases futuras, se desarrolló un pipeline de entrenamiento incremental en reentrenar_modelo.py que toma los pesos aprendidos de best.pt y continúa el aprendizaje a partir del modelo anterior sin perder el conocimiento previo.</w:t>
      </w:r>
    </w:p>
    <w:tbl>
      <w:tblPr>
        <w:tblStyle w:val="12"/>
        <w:tblW w:w="0" w:type="auto"/>
        <w:jc w:val="center"/>
        <w:tblLayout w:type="autofit"/>
        <w:tblCellMar>
          <w:top w:w="0" w:type="dxa"/>
          <w:left w:w="108" w:type="dxa"/>
          <w:bottom w:w="0" w:type="dxa"/>
          <w:right w:w="108" w:type="dxa"/>
        </w:tblCellMar>
      </w:tblPr>
      <w:tblGrid>
        <w:gridCol w:w="9622"/>
      </w:tblGrid>
      <w:tr w14:paraId="3CE6A90C">
        <w:tblPrEx>
          <w:tblCellMar>
            <w:top w:w="0" w:type="dxa"/>
            <w:left w:w="108" w:type="dxa"/>
            <w:bottom w:w="0" w:type="dxa"/>
            <w:right w:w="108" w:type="dxa"/>
          </w:tblCellMar>
        </w:tblPrEx>
        <w:trPr>
          <w:trHeight w:val="1701" w:hRule="atLeast"/>
          <w:jc w:val="center"/>
        </w:trPr>
        <w:tc>
          <w:tcPr>
            <w:tcW w:w="9406" w:type="dxa"/>
            <w:tcBorders>
              <w:top w:val="single" w:color="808080" w:sz="12" w:space="0"/>
              <w:left w:val="single" w:color="808080" w:sz="12" w:space="0"/>
              <w:bottom w:val="single" w:color="808080" w:sz="12" w:space="0"/>
              <w:right w:val="single" w:color="808080" w:sz="12" w:space="0"/>
            </w:tcBorders>
            <w:shd w:val="clear" w:color="auto" w:fill="F2F2F2"/>
            <w:vAlign w:val="center"/>
          </w:tcPr>
          <w:p w14:paraId="093A3E1C">
            <w:pPr>
              <w:jc w:val="center"/>
            </w:pPr>
            <w:r>
              <w:rPr>
                <w:rFonts w:ascii="Arial" w:hAnsi="Arial"/>
                <w:b/>
                <w:color w:val="404040"/>
                <w:sz w:val="22"/>
              </w:rPr>
              <w:t>ESPACIO PARA FOTO 6</w:t>
            </w:r>
          </w:p>
          <w:p w14:paraId="62E67E4F">
            <w:pPr>
              <w:jc w:val="center"/>
            </w:pPr>
            <w:r>
              <w:drawing>
                <wp:inline distT="0" distB="0" distL="114300" distR="114300">
                  <wp:extent cx="5963285" cy="2660650"/>
                  <wp:effectExtent l="0" t="0" r="18415"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pic:cNvPicPr>
                        </pic:nvPicPr>
                        <pic:blipFill>
                          <a:blip r:embed="rId18"/>
                          <a:stretch>
                            <a:fillRect/>
                          </a:stretch>
                        </pic:blipFill>
                        <pic:spPr>
                          <a:xfrm>
                            <a:off x="0" y="0"/>
                            <a:ext cx="5963285" cy="2660650"/>
                          </a:xfrm>
                          <a:prstGeom prst="rect">
                            <a:avLst/>
                          </a:prstGeom>
                          <a:noFill/>
                          <a:ln>
                            <a:noFill/>
                          </a:ln>
                        </pic:spPr>
                      </pic:pic>
                    </a:graphicData>
                  </a:graphic>
                </wp:inline>
              </w:drawing>
            </w:r>
          </w:p>
        </w:tc>
      </w:tr>
    </w:tbl>
    <w:p w14:paraId="5DE78760">
      <w:pPr>
        <w:pStyle w:val="3"/>
      </w:pPr>
      <w:r>
        <w:t>4.4. Fase 4: Panel de control e interfaz de operador</w:t>
      </w:r>
    </w:p>
    <w:p w14:paraId="1CBB4DEC">
      <w:r>
        <w:t>Se implementó una aplicación web interactiva utilizando la biblioteca Streamlit. Este panel proporciona al operador la capacidad de cargar videos de tráfico, ajustar el umbral de confianza, elegir entre el modelo YOLOv8 especializado y una lógica heurística tradicional, visualizar cajas y etiquetas de alerta, y mantener una bitácora interactiva con el segundo exacto del impacto vial.</w:t>
      </w:r>
    </w:p>
    <w:tbl>
      <w:tblPr>
        <w:tblStyle w:val="12"/>
        <w:tblW w:w="0" w:type="auto"/>
        <w:jc w:val="center"/>
        <w:tblLayout w:type="autofit"/>
        <w:tblCellMar>
          <w:top w:w="0" w:type="dxa"/>
          <w:left w:w="108" w:type="dxa"/>
          <w:bottom w:w="0" w:type="dxa"/>
          <w:right w:w="108" w:type="dxa"/>
        </w:tblCellMar>
      </w:tblPr>
      <w:tblGrid>
        <w:gridCol w:w="9606"/>
      </w:tblGrid>
      <w:tr w14:paraId="0B7A5277">
        <w:tblPrEx>
          <w:tblCellMar>
            <w:top w:w="0" w:type="dxa"/>
            <w:left w:w="108" w:type="dxa"/>
            <w:bottom w:w="0" w:type="dxa"/>
            <w:right w:w="108" w:type="dxa"/>
          </w:tblCellMar>
        </w:tblPrEx>
        <w:trPr>
          <w:trHeight w:val="1701" w:hRule="atLeast"/>
          <w:jc w:val="center"/>
        </w:trPr>
        <w:tc>
          <w:tcPr>
            <w:tcW w:w="9406" w:type="dxa"/>
            <w:tcBorders>
              <w:top w:val="single" w:color="808080" w:sz="12" w:space="0"/>
              <w:left w:val="single" w:color="808080" w:sz="12" w:space="0"/>
              <w:bottom w:val="single" w:color="808080" w:sz="12" w:space="0"/>
              <w:right w:val="single" w:color="808080" w:sz="12" w:space="0"/>
            </w:tcBorders>
            <w:shd w:val="clear" w:color="auto" w:fill="F2F2F2"/>
            <w:vAlign w:val="center"/>
          </w:tcPr>
          <w:p w14:paraId="52F8584E">
            <w:pPr>
              <w:jc w:val="center"/>
            </w:pPr>
            <w:r>
              <w:drawing>
                <wp:inline distT="0" distB="0" distL="114300" distR="114300">
                  <wp:extent cx="5962650" cy="237680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19"/>
                          <a:stretch>
                            <a:fillRect/>
                          </a:stretch>
                        </pic:blipFill>
                        <pic:spPr>
                          <a:xfrm>
                            <a:off x="0" y="0"/>
                            <a:ext cx="5962650" cy="2376805"/>
                          </a:xfrm>
                          <a:prstGeom prst="rect">
                            <a:avLst/>
                          </a:prstGeom>
                          <a:noFill/>
                          <a:ln>
                            <a:noFill/>
                          </a:ln>
                        </pic:spPr>
                      </pic:pic>
                    </a:graphicData>
                  </a:graphic>
                </wp:inline>
              </w:drawing>
            </w:r>
          </w:p>
        </w:tc>
      </w:tr>
    </w:tbl>
    <w:p w14:paraId="73CD70F3">
      <w:r>
        <w:rPr>
          <w:b/>
        </w:rPr>
        <w:t>Funciones principales del panel de operador:</w:t>
      </w:r>
    </w:p>
    <w:p w14:paraId="70D947FF">
      <w:pPr>
        <w:ind w:left="369" w:hanging="255"/>
      </w:pPr>
      <w:r>
        <w:rPr>
          <w:b w:val="0"/>
        </w:rPr>
        <w:t xml:space="preserve">1. </w:t>
      </w:r>
      <w:r>
        <w:t>Cargar un video de tráfico mediante un cargador de archivos interactivo.</w:t>
      </w:r>
    </w:p>
    <w:p w14:paraId="79F2A66A">
      <w:pPr>
        <w:ind w:left="369" w:hanging="255"/>
      </w:pPr>
      <w:r>
        <w:rPr>
          <w:b w:val="0"/>
        </w:rPr>
        <w:t xml:space="preserve">2. </w:t>
      </w:r>
      <w:r>
        <w:t>Ajustar el umbral de confianza (conf) mediante un control deslizante de 0.10 a 1.00.</w:t>
      </w:r>
    </w:p>
    <w:p w14:paraId="218EA286">
      <w:pPr>
        <w:ind w:left="369" w:hanging="255"/>
      </w:pPr>
      <w:r>
        <w:rPr>
          <w:b w:val="0"/>
        </w:rPr>
        <w:t xml:space="preserve">3. </w:t>
      </w:r>
      <w:r>
        <w:t>Elegir entre el modelo YOLOv8 especializado y la lógica heurística tradicional basada en IoU.</w:t>
      </w:r>
    </w:p>
    <w:p w14:paraId="30470B69">
      <w:pPr>
        <w:ind w:left="369" w:hanging="255"/>
      </w:pPr>
      <w:r>
        <w:rPr>
          <w:b w:val="0"/>
        </w:rPr>
        <w:t xml:space="preserve">4. </w:t>
      </w:r>
      <w:r>
        <w:t>Visualizar la reproducción de video procesada con cajas y etiquetas rojas que alertan el accidente.</w:t>
      </w:r>
    </w:p>
    <w:p w14:paraId="43837808">
      <w:pPr>
        <w:ind w:left="369" w:hanging="255"/>
      </w:pPr>
      <w:r>
        <w:rPr>
          <w:b w:val="0"/>
        </w:rPr>
        <w:t xml:space="preserve">5. </w:t>
      </w:r>
      <w:r>
        <w:t>Mantener una bitácora interactiva que reporta el segundo exacto del impacto vial.</w:t>
      </w:r>
    </w:p>
    <w:p w14:paraId="0B124EB0">
      <w:pPr>
        <w:pStyle w:val="2"/>
      </w:pPr>
      <w:r>
        <w:t>5. Evaluación y análisis comparativo</w:t>
      </w:r>
    </w:p>
    <w:p w14:paraId="65BD15AD">
      <w:r>
        <w:t>Para contrastar el desempeño de la solución propuesta, se implementaron y evaluaron dos modelos matemáticos distintos dentro del dashboard.</w:t>
      </w:r>
    </w:p>
    <w:p w14:paraId="23F0EA7C">
      <w:pPr>
        <w:pStyle w:val="3"/>
      </w:pPr>
      <w:r>
        <w:t>5.1. Modelos evaluados</w:t>
      </w:r>
    </w:p>
    <w:p w14:paraId="4449D987">
      <w:pPr>
        <w:pStyle w:val="30"/>
      </w:pPr>
      <w:r>
        <w:t>Modelo A - YOLOv8 especializado: utiliza la red convolucional YOLOv8-Nano reentrenada con el dataset del proyecto. Detecta el evento accidente de forma directa mediante aprendizaje de características complejas como deformación de carrocería, traslape físico y colisiones.</w:t>
      </w:r>
    </w:p>
    <w:p w14:paraId="2205476D">
      <w:pPr>
        <w:pStyle w:val="30"/>
      </w:pPr>
      <w:r>
        <w:t>Modelo B - YOLOv8 base + heurística IoU: utiliza el modelo base general yolov8n.pt para detectar vehículos independientes y ejecuta un algoritmo geométrico secundario. Si la intersección sobre la unión entre las cajas de dos vehículos supera el 0.20, se estima la ocurrencia de una colisión.</w:t>
      </w:r>
    </w:p>
    <w:p w14:paraId="344BBF09">
      <w:pPr>
        <w:pStyle w:val="30"/>
        <w:numPr>
          <w:ilvl w:val="0"/>
          <w:numId w:val="0"/>
        </w:numPr>
        <w:spacing w:after="120" w:line="276" w:lineRule="auto"/>
        <w:contextualSpacing/>
      </w:pPr>
    </w:p>
    <w:p w14:paraId="51686471">
      <w:pPr>
        <w:pStyle w:val="30"/>
        <w:numPr>
          <w:ilvl w:val="0"/>
          <w:numId w:val="0"/>
        </w:numPr>
        <w:spacing w:after="120" w:line="276" w:lineRule="auto"/>
        <w:contextualSpacing/>
      </w:pPr>
    </w:p>
    <w:p w14:paraId="7D9CA492">
      <w:pPr>
        <w:pStyle w:val="30"/>
        <w:numPr>
          <w:ilvl w:val="0"/>
          <w:numId w:val="0"/>
        </w:numPr>
        <w:spacing w:after="120" w:line="276" w:lineRule="auto"/>
        <w:contextualSpacing/>
      </w:pPr>
    </w:p>
    <w:p w14:paraId="61B7DCEE">
      <w:pPr>
        <w:pStyle w:val="3"/>
      </w:pPr>
      <w:r>
        <w:t>5.2. Métricas de desempeño</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274CC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1" w:type="dxa"/>
            <w:shd w:val="clear" w:color="auto" w:fill="1F4E79"/>
            <w:vAlign w:val="center"/>
          </w:tcPr>
          <w:p w14:paraId="1D847C8A">
            <w:r>
              <w:rPr>
                <w:rFonts w:ascii="Arial" w:hAnsi="Arial"/>
                <w:b/>
                <w:color w:val="FFFFFF"/>
                <w:sz w:val="18"/>
              </w:rPr>
              <w:t>Modelo / método evaluado</w:t>
            </w:r>
          </w:p>
        </w:tc>
        <w:tc>
          <w:tcPr>
            <w:tcW w:w="1881" w:type="dxa"/>
            <w:shd w:val="clear" w:color="auto" w:fill="1F4E79"/>
            <w:vAlign w:val="center"/>
          </w:tcPr>
          <w:p w14:paraId="2E0FC69B">
            <w:r>
              <w:rPr>
                <w:rFonts w:ascii="Arial" w:hAnsi="Arial"/>
                <w:b/>
                <w:color w:val="FFFFFF"/>
                <w:sz w:val="18"/>
              </w:rPr>
              <w:t>Precision</w:t>
            </w:r>
          </w:p>
        </w:tc>
        <w:tc>
          <w:tcPr>
            <w:tcW w:w="1881" w:type="dxa"/>
            <w:shd w:val="clear" w:color="auto" w:fill="1F4E79"/>
            <w:vAlign w:val="center"/>
          </w:tcPr>
          <w:p w14:paraId="0FF7F8BB">
            <w:r>
              <w:rPr>
                <w:rFonts w:ascii="Arial" w:hAnsi="Arial"/>
                <w:b/>
                <w:color w:val="FFFFFF"/>
                <w:sz w:val="18"/>
              </w:rPr>
              <w:t>Recall</w:t>
            </w:r>
          </w:p>
        </w:tc>
        <w:tc>
          <w:tcPr>
            <w:tcW w:w="1881" w:type="dxa"/>
            <w:shd w:val="clear" w:color="auto" w:fill="1F4E79"/>
            <w:vAlign w:val="center"/>
          </w:tcPr>
          <w:p w14:paraId="3B442E81">
            <w:r>
              <w:rPr>
                <w:rFonts w:ascii="Arial" w:hAnsi="Arial"/>
                <w:b/>
                <w:color w:val="FFFFFF"/>
                <w:sz w:val="18"/>
              </w:rPr>
              <w:t>mAP50</w:t>
            </w:r>
          </w:p>
        </w:tc>
        <w:tc>
          <w:tcPr>
            <w:tcW w:w="1881" w:type="dxa"/>
            <w:shd w:val="clear" w:color="auto" w:fill="1F4E79"/>
            <w:vAlign w:val="center"/>
          </w:tcPr>
          <w:p w14:paraId="2A19C66E">
            <w:r>
              <w:rPr>
                <w:rFonts w:ascii="Arial" w:hAnsi="Arial"/>
                <w:b/>
                <w:color w:val="FFFFFF"/>
                <w:sz w:val="18"/>
              </w:rPr>
              <w:t>Tiempo de inferencia por frame</w:t>
            </w:r>
          </w:p>
        </w:tc>
      </w:tr>
      <w:tr w14:paraId="5642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563D96F7">
            <w:pPr>
              <w:jc w:val="left"/>
            </w:pPr>
            <w:r>
              <w:rPr>
                <w:rFonts w:ascii="Arial" w:hAnsi="Arial"/>
                <w:sz w:val="18"/>
              </w:rPr>
              <w:t>YOLOv8 especializado (propuesto)</w:t>
            </w:r>
          </w:p>
        </w:tc>
        <w:tc>
          <w:tcPr>
            <w:tcW w:w="1881" w:type="dxa"/>
            <w:vAlign w:val="center"/>
          </w:tcPr>
          <w:p w14:paraId="7A357AC9">
            <w:pPr>
              <w:jc w:val="center"/>
            </w:pPr>
            <w:r>
              <w:rPr>
                <w:rFonts w:ascii="Arial" w:hAnsi="Arial"/>
                <w:sz w:val="18"/>
              </w:rPr>
              <w:t>70.9%</w:t>
            </w:r>
          </w:p>
        </w:tc>
        <w:tc>
          <w:tcPr>
            <w:tcW w:w="1881" w:type="dxa"/>
            <w:vAlign w:val="center"/>
          </w:tcPr>
          <w:p w14:paraId="28D5CA73">
            <w:pPr>
              <w:jc w:val="center"/>
            </w:pPr>
            <w:r>
              <w:rPr>
                <w:rFonts w:ascii="Arial" w:hAnsi="Arial"/>
                <w:sz w:val="18"/>
              </w:rPr>
              <w:t>84.9%</w:t>
            </w:r>
          </w:p>
        </w:tc>
        <w:tc>
          <w:tcPr>
            <w:tcW w:w="1881" w:type="dxa"/>
            <w:vAlign w:val="center"/>
          </w:tcPr>
          <w:p w14:paraId="3565289B">
            <w:pPr>
              <w:jc w:val="center"/>
            </w:pPr>
            <w:r>
              <w:rPr>
                <w:rFonts w:ascii="Arial" w:hAnsi="Arial"/>
                <w:sz w:val="18"/>
              </w:rPr>
              <w:t>84.6%</w:t>
            </w:r>
          </w:p>
        </w:tc>
        <w:tc>
          <w:tcPr>
            <w:tcW w:w="1881" w:type="dxa"/>
            <w:vAlign w:val="center"/>
          </w:tcPr>
          <w:p w14:paraId="14BF3210">
            <w:pPr>
              <w:jc w:val="center"/>
            </w:pPr>
            <w:r>
              <w:rPr>
                <w:rFonts w:ascii="Arial" w:hAnsi="Arial"/>
                <w:sz w:val="18"/>
              </w:rPr>
              <w:t>~12 ms (CPU)</w:t>
            </w:r>
          </w:p>
        </w:tc>
      </w:tr>
      <w:tr w14:paraId="53671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0AAC45FA">
            <w:pPr>
              <w:jc w:val="left"/>
            </w:pPr>
            <w:r>
              <w:rPr>
                <w:rFonts w:ascii="Arial" w:hAnsi="Arial"/>
                <w:sz w:val="18"/>
              </w:rPr>
              <w:t>YOLOv8 base + traslape IoU (tradicional)</w:t>
            </w:r>
          </w:p>
        </w:tc>
        <w:tc>
          <w:tcPr>
            <w:tcW w:w="1881" w:type="dxa"/>
            <w:vAlign w:val="center"/>
          </w:tcPr>
          <w:p w14:paraId="7D263B4C">
            <w:pPr>
              <w:jc w:val="center"/>
            </w:pPr>
            <w:r>
              <w:rPr>
                <w:rFonts w:ascii="Arial" w:hAnsi="Arial"/>
                <w:sz w:val="18"/>
              </w:rPr>
              <w:t>45.0%</w:t>
            </w:r>
          </w:p>
        </w:tc>
        <w:tc>
          <w:tcPr>
            <w:tcW w:w="1881" w:type="dxa"/>
            <w:vAlign w:val="center"/>
          </w:tcPr>
          <w:p w14:paraId="0937A2F6">
            <w:pPr>
              <w:jc w:val="center"/>
            </w:pPr>
            <w:r>
              <w:rPr>
                <w:rFonts w:ascii="Arial" w:hAnsi="Arial"/>
                <w:sz w:val="18"/>
              </w:rPr>
              <w:t>52.0%</w:t>
            </w:r>
          </w:p>
        </w:tc>
        <w:tc>
          <w:tcPr>
            <w:tcW w:w="1881" w:type="dxa"/>
            <w:vAlign w:val="center"/>
          </w:tcPr>
          <w:p w14:paraId="5852C6B3">
            <w:pPr>
              <w:jc w:val="center"/>
            </w:pPr>
            <w:r>
              <w:rPr>
                <w:rFonts w:ascii="Arial" w:hAnsi="Arial"/>
                <w:sz w:val="18"/>
              </w:rPr>
              <w:t>48.5%</w:t>
            </w:r>
          </w:p>
        </w:tc>
        <w:tc>
          <w:tcPr>
            <w:tcW w:w="1881" w:type="dxa"/>
            <w:vAlign w:val="center"/>
          </w:tcPr>
          <w:p w14:paraId="63604559">
            <w:pPr>
              <w:jc w:val="center"/>
            </w:pPr>
            <w:r>
              <w:rPr>
                <w:rFonts w:ascii="Arial" w:hAnsi="Arial"/>
                <w:sz w:val="18"/>
              </w:rPr>
              <w:t>~28 ms (CPU)</w:t>
            </w:r>
          </w:p>
        </w:tc>
      </w:tr>
    </w:tbl>
    <w:p w14:paraId="14A32637">
      <w:pPr>
        <w:pStyle w:val="17"/>
        <w:jc w:val="center"/>
      </w:pPr>
      <w:r>
        <w:t>Tabla 1. Comparación cuantitativa entre el modelo especializado y el método tradicional.</w:t>
      </w:r>
    </w:p>
    <w:tbl>
      <w:tblPr>
        <w:tblStyle w:val="12"/>
        <w:tblW w:w="0" w:type="auto"/>
        <w:jc w:val="center"/>
        <w:tblLayout w:type="autofit"/>
        <w:tblCellMar>
          <w:top w:w="0" w:type="dxa"/>
          <w:left w:w="108" w:type="dxa"/>
          <w:bottom w:w="0" w:type="dxa"/>
          <w:right w:w="108" w:type="dxa"/>
        </w:tblCellMar>
      </w:tblPr>
      <w:tblGrid>
        <w:gridCol w:w="9606"/>
      </w:tblGrid>
      <w:tr w14:paraId="40A021B7">
        <w:tblPrEx>
          <w:tblCellMar>
            <w:top w:w="0" w:type="dxa"/>
            <w:left w:w="108" w:type="dxa"/>
            <w:bottom w:w="0" w:type="dxa"/>
            <w:right w:w="108" w:type="dxa"/>
          </w:tblCellMar>
        </w:tblPrEx>
        <w:trPr>
          <w:trHeight w:val="1701" w:hRule="atLeast"/>
          <w:jc w:val="center"/>
        </w:trPr>
        <w:tc>
          <w:tcPr>
            <w:tcW w:w="9406" w:type="dxa"/>
            <w:tcBorders>
              <w:top w:val="single" w:color="808080" w:sz="12" w:space="0"/>
              <w:left w:val="single" w:color="808080" w:sz="12" w:space="0"/>
              <w:bottom w:val="single" w:color="808080" w:sz="12" w:space="0"/>
              <w:right w:val="single" w:color="808080" w:sz="12" w:space="0"/>
            </w:tcBorders>
            <w:shd w:val="clear" w:color="auto" w:fill="F2F2F2"/>
            <w:vAlign w:val="center"/>
          </w:tcPr>
          <w:p w14:paraId="1748D952">
            <w:pPr>
              <w:jc w:val="center"/>
            </w:pPr>
            <w:r>
              <w:rPr>
                <w:rFonts w:ascii="Arial" w:hAnsi="Arial"/>
                <w:b/>
                <w:color w:val="404040"/>
                <w:sz w:val="22"/>
              </w:rPr>
              <w:t>ESPACIO PARA FOTO 8</w:t>
            </w:r>
          </w:p>
          <w:p w14:paraId="4786E549">
            <w:pPr>
              <w:jc w:val="center"/>
            </w:pPr>
            <w:r>
              <w:drawing>
                <wp:inline distT="0" distB="0" distL="114300" distR="114300">
                  <wp:extent cx="5958205" cy="3971925"/>
                  <wp:effectExtent l="0" t="0" r="444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icPr>
                        <pic:blipFill>
                          <a:blip r:embed="rId20"/>
                          <a:stretch>
                            <a:fillRect/>
                          </a:stretch>
                        </pic:blipFill>
                        <pic:spPr>
                          <a:xfrm>
                            <a:off x="0" y="0"/>
                            <a:ext cx="5958205" cy="3971925"/>
                          </a:xfrm>
                          <a:prstGeom prst="rect">
                            <a:avLst/>
                          </a:prstGeom>
                          <a:noFill/>
                          <a:ln>
                            <a:noFill/>
                          </a:ln>
                        </pic:spPr>
                      </pic:pic>
                    </a:graphicData>
                  </a:graphic>
                </wp:inline>
              </w:drawing>
            </w:r>
          </w:p>
          <w:p w14:paraId="61B92F73">
            <w:pPr>
              <w:jc w:val="center"/>
            </w:pPr>
            <w:r>
              <w:drawing>
                <wp:inline distT="0" distB="0" distL="114300" distR="114300">
                  <wp:extent cx="5958840" cy="5958840"/>
                  <wp:effectExtent l="0" t="0" r="381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21"/>
                          <a:stretch>
                            <a:fillRect/>
                          </a:stretch>
                        </pic:blipFill>
                        <pic:spPr>
                          <a:xfrm>
                            <a:off x="0" y="0"/>
                            <a:ext cx="5958840" cy="5958840"/>
                          </a:xfrm>
                          <a:prstGeom prst="rect">
                            <a:avLst/>
                          </a:prstGeom>
                          <a:noFill/>
                          <a:ln>
                            <a:noFill/>
                          </a:ln>
                        </pic:spPr>
                      </pic:pic>
                    </a:graphicData>
                  </a:graphic>
                </wp:inline>
              </w:drawing>
            </w:r>
          </w:p>
          <w:p w14:paraId="778B5DD4">
            <w:pPr>
              <w:jc w:val="center"/>
            </w:pPr>
            <w:r>
              <w:drawing>
                <wp:inline distT="0" distB="0" distL="114300" distR="114300">
                  <wp:extent cx="5958840" cy="5958840"/>
                  <wp:effectExtent l="0" t="0" r="381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a:picLocks noChangeAspect="1"/>
                          </pic:cNvPicPr>
                        </pic:nvPicPr>
                        <pic:blipFill>
                          <a:blip r:embed="rId21"/>
                          <a:stretch>
                            <a:fillRect/>
                          </a:stretch>
                        </pic:blipFill>
                        <pic:spPr>
                          <a:xfrm>
                            <a:off x="0" y="0"/>
                            <a:ext cx="5958840" cy="5958840"/>
                          </a:xfrm>
                          <a:prstGeom prst="rect">
                            <a:avLst/>
                          </a:prstGeom>
                          <a:noFill/>
                          <a:ln>
                            <a:noFill/>
                          </a:ln>
                        </pic:spPr>
                      </pic:pic>
                    </a:graphicData>
                  </a:graphic>
                </wp:inline>
              </w:drawing>
            </w:r>
          </w:p>
          <w:p w14:paraId="59A2B8CB">
            <w:pPr>
              <w:jc w:val="center"/>
            </w:pPr>
            <w:r>
              <w:drawing>
                <wp:inline distT="0" distB="0" distL="114300" distR="114300">
                  <wp:extent cx="5958840" cy="5958840"/>
                  <wp:effectExtent l="0" t="0" r="381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a:picLocks noChangeAspect="1"/>
                          </pic:cNvPicPr>
                        </pic:nvPicPr>
                        <pic:blipFill>
                          <a:blip r:embed="rId21"/>
                          <a:stretch>
                            <a:fillRect/>
                          </a:stretch>
                        </pic:blipFill>
                        <pic:spPr>
                          <a:xfrm>
                            <a:off x="0" y="0"/>
                            <a:ext cx="5958840" cy="5958840"/>
                          </a:xfrm>
                          <a:prstGeom prst="rect">
                            <a:avLst/>
                          </a:prstGeom>
                          <a:noFill/>
                          <a:ln>
                            <a:noFill/>
                          </a:ln>
                        </pic:spPr>
                      </pic:pic>
                    </a:graphicData>
                  </a:graphic>
                </wp:inline>
              </w:drawing>
            </w:r>
          </w:p>
        </w:tc>
      </w:tr>
    </w:tbl>
    <w:p w14:paraId="1FDC141E">
      <w:pPr>
        <w:pStyle w:val="3"/>
      </w:pPr>
      <w:r>
        <w:t>5.3. Análisis cualitativo de resultados</w:t>
      </w:r>
    </w:p>
    <w:p w14:paraId="1856BCE3">
      <w:r>
        <w:rPr>
          <w:b/>
        </w:rPr>
        <w:t xml:space="preserve">Sensibilidad frente a falsas alarmas: </w:t>
      </w:r>
      <w:r>
        <w:t>El modelo propuesto especializado demuestra un Recall sobresaliente del 84.9%, capturando de forma correcta casi todas las colisiones críticas del video de prueba. Su precisión del 70.9% reduce significativamente falsas alarmas provocadas por oclusión parcial o vehículos transitando muy cerca.</w:t>
      </w:r>
    </w:p>
    <w:p w14:paraId="145BD4C7">
      <w:r>
        <w:rPr>
          <w:b/>
        </w:rPr>
        <w:t xml:space="preserve">Limitaciones del método tradicional IoU: </w:t>
      </w:r>
      <w:r>
        <w:t>El método tradicional por traslape geométrico de vehículos sufre de un alto índice de falsos positivos, con una Precision de solo 45.0%. Esto ocurre porque cuando dos autos normales transitan en la misma dirección y se alinean visualmente respecto a la perspectiva de la cámara, sus cajas de detección en 2D se traslapan y disparan una alerta falsa.</w:t>
      </w:r>
    </w:p>
    <w:p w14:paraId="0A1AA76C">
      <w:r>
        <w:rPr>
          <w:b/>
        </w:rPr>
        <w:t xml:space="preserve">Eficiencia de procesamiento: </w:t>
      </w:r>
      <w:r>
        <w:t>El modelo especializado toma únicamente aproximadamente 12 ms en CPU para inferir sobre un frame debido a la regresión de una sola pasada de YOLOv8. Por el contrario, el modelo tradicional tarda aproximadamente 28 ms debido al costo computacional adicional de comparar los pares de cajas de vehículos detectados en escena para calcular la fórmula de IoU.</w:t>
      </w:r>
    </w:p>
    <w:p w14:paraId="45F906C1">
      <w:pPr>
        <w:pStyle w:val="2"/>
      </w:pPr>
      <w:r>
        <w:t>6. Reflexión del proyecto</w:t>
      </w:r>
    </w:p>
    <w:p w14:paraId="69675B53">
      <w:r>
        <w:t>A partir del desarrollo del Proyecto Golden Hour, se evidencia que la inteligencia artificial puede aplicarse a problemas reales de alto impacto social, especialmente cuando existe una necesidad de respuesta rápida y automatizada. La visión computacional no solo permite detectar objetos, sino también interpretar eventos críticos dentro de una escena, como una colisión vehicular.</w:t>
      </w:r>
    </w:p>
    <w:p w14:paraId="6092E523">
      <w:r>
        <w:t>Una de las principales reflexiones del trabajo es que la calidad del dataset y la forma de etiquetar los datos influyen directamente en el desempeño del modelo. Al etiquetar el bloque completo de la colisión, el sistema aprendió patrones más complejos que una simple cercanía entre vehículos, superando al método tradicional basado en traslape geométrico. Esto demuestra que un buen diseño de datos puede ser tan importante como el algoritmo utilizado.</w:t>
      </w:r>
    </w:p>
    <w:p w14:paraId="4DB78462">
      <w:r>
        <w:t>Finalmente, el proyecto permite comprender que una solución de IA debe pensarse como un sistema completo: extracción de datos, entrenamiento, inferencia, interfaz de usuario y registro de alertas. Por eso, el valor del proyecto no se limita al modelo YOLOv8, sino a la integración de todas sus partes para apoyar una respuesta más rápida ante emergencias viales.</w:t>
      </w:r>
    </w:p>
    <w:p w14:paraId="5727DBB4">
      <w:pPr>
        <w:pStyle w:val="2"/>
      </w:pPr>
    </w:p>
    <w:p w14:paraId="4C655394">
      <w:pPr>
        <w:pStyle w:val="2"/>
      </w:pPr>
      <w:r>
        <w:t>7. Conclusiones y trabajo futuro</w:t>
      </w:r>
    </w:p>
    <w:p w14:paraId="35E5E0CE">
      <w:pPr>
        <w:ind w:left="369" w:hanging="255"/>
      </w:pPr>
      <w:r>
        <w:rPr>
          <w:b w:val="0"/>
        </w:rPr>
        <w:t xml:space="preserve">1. </w:t>
      </w:r>
      <w:r>
        <w:t>El aprendizaje por transferencia (Transfer Learning) sobre YOLOv8 resulta efectivo para especializar modelos de visión artificial con datasets locales compactos, alcanzando un mAP50 de 84.6% en CPU estándar.</w:t>
      </w:r>
    </w:p>
    <w:p w14:paraId="75A1EE0B">
      <w:pPr>
        <w:ind w:left="369" w:hanging="255"/>
      </w:pPr>
      <w:r>
        <w:rPr>
          <w:b w:val="0"/>
        </w:rPr>
        <w:t xml:space="preserve">2. </w:t>
      </w:r>
      <w:r>
        <w:t>La lógica de etiquetado por bloques de colisión superó en precisión a la lógica heurística tradicional basada en traslape geométrico, demostrando que la IA es capaz de aprender patrones dinámicos de colisión complejos en lugar de simples proximidades de cajas.</w:t>
      </w:r>
    </w:p>
    <w:p w14:paraId="312B7A66">
      <w:pPr>
        <w:ind w:left="369" w:hanging="255"/>
      </w:pPr>
      <w:r>
        <w:rPr>
          <w:b w:val="0"/>
        </w:rPr>
        <w:t xml:space="preserve">3. </w:t>
      </w:r>
      <w:r>
        <w:t>El siguiente paso natural del proyecto es conectar la salida de alerta del dashboard con una API de comunicación, como Twilio o alertas automáticas web, para despachar un aviso directo a centrales de emergencia al momento de ocurrir una colisión.</w:t>
      </w:r>
    </w:p>
    <w:p w14:paraId="1757290E">
      <w:pPr>
        <w:ind w:left="369" w:hanging="255"/>
      </w:pPr>
      <w:r>
        <w:rPr>
          <w:b w:val="0"/>
        </w:rPr>
        <w:t xml:space="preserve">4. </w:t>
      </w:r>
      <w:r>
        <w:t>Como mejora futura, se plantea implementar algoritmos de seguimiento espacial continuo, como ByteTrack o DeepSORT, para estimar la velocidad previa al choque y enriquecer los reportes para peritaje vial.</w:t>
      </w:r>
    </w:p>
    <w:tbl>
      <w:tblPr>
        <w:tblStyle w:val="12"/>
        <w:tblW w:w="0" w:type="auto"/>
        <w:jc w:val="center"/>
        <w:tblLayout w:type="autofit"/>
        <w:tblCellMar>
          <w:top w:w="0" w:type="dxa"/>
          <w:left w:w="108" w:type="dxa"/>
          <w:bottom w:w="0" w:type="dxa"/>
          <w:right w:w="108" w:type="dxa"/>
        </w:tblCellMar>
      </w:tblPr>
      <w:tblGrid>
        <w:gridCol w:w="9622"/>
      </w:tblGrid>
      <w:tr w14:paraId="59EF2D6C">
        <w:tblPrEx>
          <w:tblCellMar>
            <w:top w:w="0" w:type="dxa"/>
            <w:left w:w="108" w:type="dxa"/>
            <w:bottom w:w="0" w:type="dxa"/>
            <w:right w:w="108" w:type="dxa"/>
          </w:tblCellMar>
        </w:tblPrEx>
        <w:trPr>
          <w:trHeight w:val="1701" w:hRule="atLeast"/>
          <w:jc w:val="center"/>
        </w:trPr>
        <w:tc>
          <w:tcPr>
            <w:tcW w:w="9406" w:type="dxa"/>
            <w:tcBorders>
              <w:top w:val="single" w:color="808080" w:sz="12" w:space="0"/>
              <w:left w:val="single" w:color="808080" w:sz="12" w:space="0"/>
              <w:bottom w:val="single" w:color="808080" w:sz="12" w:space="0"/>
              <w:right w:val="single" w:color="808080" w:sz="12" w:space="0"/>
            </w:tcBorders>
            <w:shd w:val="clear" w:color="auto" w:fill="F2F2F2"/>
            <w:vAlign w:val="center"/>
          </w:tcPr>
          <w:p w14:paraId="3C90F5EE">
            <w:pPr>
              <w:jc w:val="center"/>
              <w:rPr>
                <w:rFonts w:hint="default"/>
                <w:b/>
                <w:color w:val="404040"/>
                <w:sz w:val="22"/>
                <w:lang w:val="es-ES"/>
              </w:rPr>
            </w:pPr>
            <w:r>
              <w:rPr>
                <w:rFonts w:hint="default"/>
                <w:b/>
                <w:color w:val="404040"/>
                <w:sz w:val="22"/>
                <w:lang w:val="es-ES"/>
              </w:rPr>
              <w:t>DashBoar principal</w:t>
            </w:r>
          </w:p>
          <w:p w14:paraId="5E5503E4">
            <w:pPr>
              <w:jc w:val="center"/>
              <w:rPr>
                <w:rFonts w:hint="default"/>
                <w:b/>
                <w:color w:val="404040"/>
                <w:sz w:val="22"/>
                <w:lang w:val="es-ES"/>
              </w:rPr>
            </w:pPr>
            <w:r>
              <w:drawing>
                <wp:inline distT="0" distB="0" distL="114300" distR="114300">
                  <wp:extent cx="5967095" cy="2574290"/>
                  <wp:effectExtent l="0" t="0" r="14605" b="165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pic:cNvPicPr>
                        </pic:nvPicPr>
                        <pic:blipFill>
                          <a:blip r:embed="rId22"/>
                          <a:stretch>
                            <a:fillRect/>
                          </a:stretch>
                        </pic:blipFill>
                        <pic:spPr>
                          <a:xfrm>
                            <a:off x="0" y="0"/>
                            <a:ext cx="5967095" cy="2574290"/>
                          </a:xfrm>
                          <a:prstGeom prst="rect">
                            <a:avLst/>
                          </a:prstGeom>
                          <a:noFill/>
                          <a:ln>
                            <a:noFill/>
                          </a:ln>
                        </pic:spPr>
                      </pic:pic>
                    </a:graphicData>
                  </a:graphic>
                </wp:inline>
              </w:drawing>
            </w:r>
          </w:p>
          <w:p w14:paraId="338ED2E9">
            <w:pPr>
              <w:jc w:val="center"/>
              <w:rPr>
                <w:rFonts w:hint="default"/>
                <w:b/>
                <w:color w:val="404040"/>
                <w:sz w:val="22"/>
                <w:lang w:val="es-ES"/>
              </w:rPr>
            </w:pPr>
            <w:r>
              <w:rPr>
                <w:rFonts w:hint="default"/>
                <w:b/>
                <w:color w:val="404040"/>
                <w:sz w:val="22"/>
                <w:lang w:val="es-ES"/>
              </w:rPr>
              <w:t>Comparaciones de resltados de analicis.</w:t>
            </w:r>
          </w:p>
          <w:p w14:paraId="3AB9FBB7">
            <w:pPr>
              <w:jc w:val="center"/>
            </w:pPr>
            <w:r>
              <w:drawing>
                <wp:inline distT="0" distB="0" distL="114300" distR="114300">
                  <wp:extent cx="5970270" cy="3007360"/>
                  <wp:effectExtent l="0" t="0" r="1143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pic:cNvPicPr>
                        </pic:nvPicPr>
                        <pic:blipFill>
                          <a:blip r:embed="rId23"/>
                          <a:stretch>
                            <a:fillRect/>
                          </a:stretch>
                        </pic:blipFill>
                        <pic:spPr>
                          <a:xfrm>
                            <a:off x="0" y="0"/>
                            <a:ext cx="5970270" cy="3007360"/>
                          </a:xfrm>
                          <a:prstGeom prst="rect">
                            <a:avLst/>
                          </a:prstGeom>
                          <a:noFill/>
                          <a:ln>
                            <a:noFill/>
                          </a:ln>
                        </pic:spPr>
                      </pic:pic>
                    </a:graphicData>
                  </a:graphic>
                </wp:inline>
              </w:drawing>
            </w:r>
          </w:p>
          <w:p w14:paraId="30BAD1A4">
            <w:pPr>
              <w:jc w:val="center"/>
            </w:pPr>
            <w:r>
              <w:drawing>
                <wp:inline distT="0" distB="0" distL="114300" distR="114300">
                  <wp:extent cx="5970270" cy="2693035"/>
                  <wp:effectExtent l="0" t="0" r="11430" b="1206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24"/>
                          <a:stretch>
                            <a:fillRect/>
                          </a:stretch>
                        </pic:blipFill>
                        <pic:spPr>
                          <a:xfrm>
                            <a:off x="0" y="0"/>
                            <a:ext cx="5970270" cy="2693035"/>
                          </a:xfrm>
                          <a:prstGeom prst="rect">
                            <a:avLst/>
                          </a:prstGeom>
                          <a:noFill/>
                          <a:ln>
                            <a:noFill/>
                          </a:ln>
                        </pic:spPr>
                      </pic:pic>
                    </a:graphicData>
                  </a:graphic>
                </wp:inline>
              </w:drawing>
            </w:r>
          </w:p>
          <w:p w14:paraId="531419F9">
            <w:pPr>
              <w:jc w:val="center"/>
              <w:rPr>
                <w:rFonts w:hint="default"/>
                <w:lang w:val="es-ES"/>
              </w:rPr>
            </w:pPr>
            <w:r>
              <w:drawing>
                <wp:inline distT="0" distB="0" distL="114300" distR="114300">
                  <wp:extent cx="5967730" cy="3072765"/>
                  <wp:effectExtent l="0" t="0" r="13970" b="133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pic:cNvPicPr>
                        </pic:nvPicPr>
                        <pic:blipFill>
                          <a:blip r:embed="rId25"/>
                          <a:stretch>
                            <a:fillRect/>
                          </a:stretch>
                        </pic:blipFill>
                        <pic:spPr>
                          <a:xfrm>
                            <a:off x="0" y="0"/>
                            <a:ext cx="5967730" cy="3072765"/>
                          </a:xfrm>
                          <a:prstGeom prst="rect">
                            <a:avLst/>
                          </a:prstGeom>
                          <a:noFill/>
                          <a:ln>
                            <a:noFill/>
                          </a:ln>
                        </pic:spPr>
                      </pic:pic>
                    </a:graphicData>
                  </a:graphic>
                </wp:inline>
              </w:drawing>
            </w:r>
          </w:p>
        </w:tc>
      </w:tr>
    </w:tbl>
    <w:p w14:paraId="696494D8">
      <w:pPr>
        <w:pStyle w:val="2"/>
      </w:pPr>
    </w:p>
    <w:p w14:paraId="77D620EA">
      <w:pPr>
        <w:pStyle w:val="2"/>
      </w:pPr>
      <w:r>
        <w:t>8. Bibliografía</w:t>
      </w:r>
    </w:p>
    <w:p w14:paraId="665925F7">
      <w:pPr>
        <w:ind w:left="369" w:hanging="255"/>
      </w:pPr>
      <w:r>
        <w:rPr>
          <w:b w:val="0"/>
        </w:rPr>
        <w:t xml:space="preserve">1. </w:t>
      </w:r>
      <w:r>
        <w:t>Jocher, G., Qiu, A., &amp; Chaurasia, A. (2023). Ultralytics YOLOv8. GitHub. https://github.com/ultralytics/ultralytics</w:t>
      </w:r>
    </w:p>
    <w:p w14:paraId="236E4930">
      <w:pPr>
        <w:ind w:left="369" w:hanging="255"/>
      </w:pPr>
      <w:r>
        <w:rPr>
          <w:b w:val="0"/>
        </w:rPr>
        <w:t xml:space="preserve">2. </w:t>
      </w:r>
      <w:r>
        <w:t>Redmon, J., Divvala, S., Girshick, R., &amp; Farhadi, A. (2016). You Only Look Once: Unified, Real-Time Object Detection. Proceedings of the IEEE Conference on Computer Vision and Pattern Recognition (CVPR), 779-788.</w:t>
      </w:r>
    </w:p>
    <w:p w14:paraId="1303E073">
      <w:pPr>
        <w:ind w:left="369" w:hanging="255"/>
      </w:pPr>
      <w:r>
        <w:rPr>
          <w:b w:val="0"/>
        </w:rPr>
        <w:t xml:space="preserve">3. </w:t>
      </w:r>
      <w:r>
        <w:t>Rezatofighi, H., Tsoi, N., Gwak, J. Y., Sadeghian, A., Reid, I., &amp; Savarese, S. (2019). Generalized Intersection over Union: A Metric and a Loss for Bounding Box Regression. Proceedings of the IEEE/CVF Conference on Computer Vision and Pattern Recognition (CVPR), 658-666.</w:t>
      </w:r>
    </w:p>
    <w:p w14:paraId="5E8E2515">
      <w:pPr>
        <w:ind w:left="369" w:hanging="255"/>
      </w:pPr>
      <w:r>
        <w:rPr>
          <w:b w:val="0"/>
        </w:rPr>
        <w:t xml:space="preserve">4. </w:t>
      </w:r>
      <w:r>
        <w:t>OpenCV. (2025). Open Source Computer Vision Library. https://opencv.org</w:t>
      </w:r>
    </w:p>
    <w:p w14:paraId="3E2AEB72">
      <w:pPr>
        <w:ind w:left="369" w:hanging="255"/>
      </w:pPr>
      <w:r>
        <w:rPr>
          <w:b w:val="0"/>
        </w:rPr>
        <w:t xml:space="preserve">5. </w:t>
      </w:r>
      <w:r>
        <w:t>Streamlit. (2026). Streamlit Web Application Framework. https://streamlit.io</w:t>
      </w:r>
    </w:p>
    <w:p w14:paraId="4CADE07D">
      <w:pPr>
        <w:pStyle w:val="2"/>
      </w:pPr>
      <w:r>
        <w:t>9. Anexos</w:t>
      </w:r>
    </w:p>
    <w:p w14:paraId="0BFDAB8F">
      <w:pPr>
        <w:pStyle w:val="3"/>
      </w:pPr>
      <w:r>
        <w:t>Anexo A: Código del dashboard de Streamlit</w:t>
      </w:r>
    </w:p>
    <w:p w14:paraId="07A53DF7">
      <w:r>
        <w:t>El script principal del dashboard implementa la interfaz de usuario de Streamlit, la inferencia local con YOLOv8, la lógica heurística tradicional por traslape IoU y la bitácora cronológica de incidentes en tiempo real. Para su consulta e impresión, el archivo completo se encuentra disponible en la raíz del proyecto.</w:t>
      </w:r>
    </w:p>
    <w:tbl>
      <w:tblPr>
        <w:tblStyle w:val="12"/>
        <w:tblW w:w="0" w:type="auto"/>
        <w:jc w:val="center"/>
        <w:tblLayout w:type="autofit"/>
        <w:tblCellMar>
          <w:top w:w="0" w:type="dxa"/>
          <w:left w:w="108" w:type="dxa"/>
          <w:bottom w:w="0" w:type="dxa"/>
          <w:right w:w="108" w:type="dxa"/>
        </w:tblCellMar>
      </w:tblPr>
      <w:tblGrid>
        <w:gridCol w:w="9622"/>
      </w:tblGrid>
      <w:tr w14:paraId="03DAA507">
        <w:tblPrEx>
          <w:tblCellMar>
            <w:top w:w="0" w:type="dxa"/>
            <w:left w:w="108" w:type="dxa"/>
            <w:bottom w:w="0" w:type="dxa"/>
            <w:right w:w="108" w:type="dxa"/>
          </w:tblCellMar>
        </w:tblPrEx>
        <w:trPr>
          <w:trHeight w:val="1701" w:hRule="atLeast"/>
          <w:jc w:val="center"/>
        </w:trPr>
        <w:tc>
          <w:tcPr>
            <w:tcW w:w="9406" w:type="dxa"/>
            <w:tcBorders>
              <w:top w:val="single" w:color="808080" w:sz="12" w:space="0"/>
              <w:left w:val="single" w:color="808080" w:sz="12" w:space="0"/>
              <w:bottom w:val="single" w:color="808080" w:sz="12" w:space="0"/>
              <w:right w:val="single" w:color="808080" w:sz="12" w:space="0"/>
            </w:tcBorders>
            <w:shd w:val="clear" w:color="auto" w:fill="F2F2F2"/>
            <w:vAlign w:val="center"/>
          </w:tcPr>
          <w:p w14:paraId="7CC31980">
            <w:pPr>
              <w:jc w:val="center"/>
            </w:pPr>
            <w:r>
              <w:drawing>
                <wp:inline distT="0" distB="0" distL="114300" distR="114300">
                  <wp:extent cx="5965190" cy="2662555"/>
                  <wp:effectExtent l="0" t="0" r="1651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pic:cNvPicPr>
                        </pic:nvPicPr>
                        <pic:blipFill>
                          <a:blip r:embed="rId26"/>
                          <a:stretch>
                            <a:fillRect/>
                          </a:stretch>
                        </pic:blipFill>
                        <pic:spPr>
                          <a:xfrm>
                            <a:off x="0" y="0"/>
                            <a:ext cx="5965190" cy="2662555"/>
                          </a:xfrm>
                          <a:prstGeom prst="rect">
                            <a:avLst/>
                          </a:prstGeom>
                          <a:noFill/>
                          <a:ln>
                            <a:noFill/>
                          </a:ln>
                        </pic:spPr>
                      </pic:pic>
                    </a:graphicData>
                  </a:graphic>
                </wp:inline>
              </w:drawing>
            </w:r>
          </w:p>
        </w:tc>
      </w:tr>
    </w:tbl>
    <w:p w14:paraId="1DA3B7E4">
      <w:pPr>
        <w:pStyle w:val="3"/>
      </w:pPr>
      <w:r>
        <w:t>Anexo B: Script de inferencia clásica</w:t>
      </w:r>
    </w:p>
    <w:p w14:paraId="1C299AA6">
      <w:r>
        <w:t>Este archivo realiza inferencias rápidas directamente sobre la consola de Python y renderiza las cajas sobre una ventana nativa de OpenCV:</w:t>
      </w:r>
    </w:p>
    <w:tbl>
      <w:tblPr>
        <w:tblStyle w:val="12"/>
        <w:tblW w:w="0" w:type="auto"/>
        <w:jc w:val="center"/>
        <w:tblLayout w:type="autofit"/>
        <w:tblCellMar>
          <w:top w:w="0" w:type="dxa"/>
          <w:left w:w="108" w:type="dxa"/>
          <w:bottom w:w="0" w:type="dxa"/>
          <w:right w:w="108" w:type="dxa"/>
        </w:tblCellMar>
      </w:tblPr>
      <w:tblGrid>
        <w:gridCol w:w="9406"/>
      </w:tblGrid>
      <w:tr w14:paraId="52414CF3">
        <w:tblPrEx>
          <w:tblCellMar>
            <w:top w:w="0" w:type="dxa"/>
            <w:left w:w="108" w:type="dxa"/>
            <w:bottom w:w="0" w:type="dxa"/>
            <w:right w:w="108" w:type="dxa"/>
          </w:tblCellMar>
        </w:tblPrEx>
        <w:trPr>
          <w:jc w:val="center"/>
        </w:trPr>
        <w:tc>
          <w:tcPr>
            <w:tcW w:w="9406" w:type="dxa"/>
            <w:tcBorders>
              <w:top w:val="single" w:color="BFBFBF" w:sz="8" w:space="0"/>
              <w:left w:val="single" w:color="BFBFBF" w:sz="8" w:space="0"/>
              <w:bottom w:val="single" w:color="BFBFBF" w:sz="8" w:space="0"/>
              <w:right w:val="single" w:color="BFBFBF" w:sz="8" w:space="0"/>
            </w:tcBorders>
            <w:shd w:val="clear" w:color="auto" w:fill="F7F7F7"/>
          </w:tcPr>
          <w:p w14:paraId="65FBEEFD">
            <w:pPr>
              <w:spacing w:after="0"/>
            </w:pPr>
            <w:r>
              <w:rPr>
                <w:rFonts w:ascii="Consolas" w:hAnsi="Consolas"/>
                <w:color w:val="1E1E1E"/>
                <w:sz w:val="17"/>
              </w:rPr>
              <w:t>import cv2</w:t>
            </w:r>
            <w:r>
              <w:rPr>
                <w:rFonts w:ascii="Arial" w:hAnsi="Arial"/>
              </w:rPr>
              <w:br w:type="textWrapping"/>
            </w:r>
            <w:r>
              <w:rPr>
                <w:rFonts w:ascii="Consolas" w:hAnsi="Consolas"/>
                <w:color w:val="1E1E1E"/>
                <w:sz w:val="17"/>
              </w:rPr>
              <w:t>from ultralytics import YOLO</w:t>
            </w:r>
            <w:r>
              <w:rPr>
                <w:rFonts w:ascii="Arial" w:hAnsi="Arial"/>
              </w:rPr>
              <w:br w:type="textWrapping"/>
            </w:r>
            <w:r>
              <w:rPr>
                <w:rFonts w:ascii="Arial" w:hAnsi="Arial"/>
              </w:rPr>
              <w:br w:type="textWrapping"/>
            </w:r>
            <w:r>
              <w:rPr>
                <w:rFonts w:ascii="Consolas" w:hAnsi="Consolas"/>
                <w:color w:val="1E1E1E"/>
                <w:sz w:val="17"/>
              </w:rPr>
              <w:t>ruta_mi_modelo = "runs/detect/mi_modelo_accidentes/weights/best.pt"</w:t>
            </w:r>
            <w:r>
              <w:rPr>
                <w:rFonts w:ascii="Arial" w:hAnsi="Arial"/>
              </w:rPr>
              <w:br w:type="textWrapping"/>
            </w:r>
            <w:r>
              <w:rPr>
                <w:rFonts w:ascii="Consolas" w:hAnsi="Consolas"/>
                <w:color w:val="1E1E1E"/>
                <w:sz w:val="17"/>
              </w:rPr>
              <w:t>modelo = YOLO(ruta_mi_modelo)</w:t>
            </w:r>
            <w:r>
              <w:rPr>
                <w:rFonts w:ascii="Arial" w:hAnsi="Arial"/>
              </w:rPr>
              <w:br w:type="textWrapping"/>
            </w:r>
            <w:r>
              <w:rPr>
                <w:rFonts w:ascii="Consolas" w:hAnsi="Consolas"/>
                <w:color w:val="1E1E1E"/>
                <w:sz w:val="17"/>
              </w:rPr>
              <w:t>ruta_video_prueba = "archive/Video-Accident-Dataset/head_on_collision/head_on_collision_25.mp4"</w:t>
            </w:r>
            <w:r>
              <w:rPr>
                <w:rFonts w:ascii="Arial" w:hAnsi="Arial"/>
              </w:rPr>
              <w:br w:type="textWrapping"/>
            </w:r>
            <w:r>
              <w:rPr>
                <w:rFonts w:ascii="Consolas" w:hAnsi="Consolas"/>
                <w:color w:val="1E1E1E"/>
                <w:sz w:val="17"/>
              </w:rPr>
              <w:t>cap = cv2.VideoCapture(ruta_video_prueba)</w:t>
            </w:r>
            <w:r>
              <w:rPr>
                <w:rFonts w:ascii="Arial" w:hAnsi="Arial"/>
              </w:rPr>
              <w:br w:type="textWrapping"/>
            </w:r>
            <w:r>
              <w:rPr>
                <w:rFonts w:ascii="Arial" w:hAnsi="Arial"/>
              </w:rPr>
              <w:br w:type="textWrapping"/>
            </w:r>
            <w:r>
              <w:rPr>
                <w:rFonts w:ascii="Consolas" w:hAnsi="Consolas"/>
                <w:color w:val="1E1E1E"/>
                <w:sz w:val="17"/>
              </w:rPr>
              <w:t>while cap.isOpened():</w:t>
            </w:r>
            <w:r>
              <w:rPr>
                <w:rFonts w:ascii="Arial" w:hAnsi="Arial"/>
              </w:rPr>
              <w:br w:type="textWrapping"/>
            </w:r>
            <w:r>
              <w:rPr>
                <w:rFonts w:ascii="Consolas" w:hAnsi="Consolas"/>
                <w:color w:val="1E1E1E"/>
                <w:sz w:val="17"/>
              </w:rPr>
              <w:t xml:space="preserve">    exito, frame = cap.read()</w:t>
            </w:r>
            <w:r>
              <w:rPr>
                <w:rFonts w:ascii="Arial" w:hAnsi="Arial"/>
              </w:rPr>
              <w:br w:type="textWrapping"/>
            </w:r>
            <w:r>
              <w:rPr>
                <w:rFonts w:ascii="Consolas" w:hAnsi="Consolas"/>
                <w:color w:val="1E1E1E"/>
                <w:sz w:val="17"/>
              </w:rPr>
              <w:t xml:space="preserve">    if not exito:</w:t>
            </w:r>
            <w:r>
              <w:rPr>
                <w:rFonts w:ascii="Arial" w:hAnsi="Arial"/>
              </w:rPr>
              <w:br w:type="textWrapping"/>
            </w:r>
            <w:r>
              <w:rPr>
                <w:rFonts w:ascii="Consolas" w:hAnsi="Consolas"/>
                <w:color w:val="1E1E1E"/>
                <w:sz w:val="17"/>
              </w:rPr>
              <w:t xml:space="preserve">        break</w:t>
            </w:r>
            <w:r>
              <w:rPr>
                <w:rFonts w:ascii="Arial" w:hAnsi="Arial"/>
              </w:rPr>
              <w:br w:type="textWrapping"/>
            </w:r>
            <w:r>
              <w:rPr>
                <w:rFonts w:ascii="Consolas" w:hAnsi="Consolas"/>
                <w:color w:val="1E1E1E"/>
                <w:sz w:val="17"/>
              </w:rPr>
              <w:t xml:space="preserve">    resultados = modelo(frame, conf=0.95)</w:t>
            </w:r>
            <w:r>
              <w:rPr>
                <w:rFonts w:ascii="Arial" w:hAnsi="Arial"/>
              </w:rPr>
              <w:br w:type="textWrapping"/>
            </w:r>
            <w:r>
              <w:rPr>
                <w:rFonts w:ascii="Consolas" w:hAnsi="Consolas"/>
                <w:color w:val="1E1E1E"/>
                <w:sz w:val="17"/>
              </w:rPr>
              <w:t xml:space="preserve">    frame_anotado = resultados[0].plot()</w:t>
            </w:r>
            <w:r>
              <w:rPr>
                <w:rFonts w:ascii="Arial" w:hAnsi="Arial"/>
              </w:rPr>
              <w:br w:type="textWrapping"/>
            </w:r>
            <w:r>
              <w:rPr>
                <w:rFonts w:ascii="Consolas" w:hAnsi="Consolas"/>
                <w:color w:val="1E1E1E"/>
                <w:sz w:val="17"/>
              </w:rPr>
              <w:t xml:space="preserve">    cv2.imshow("Detector de Accidentes - Version Final", frame_anotado)</w:t>
            </w:r>
            <w:r>
              <w:rPr>
                <w:rFonts w:ascii="Arial" w:hAnsi="Arial"/>
              </w:rPr>
              <w:br w:type="textWrapping"/>
            </w:r>
            <w:r>
              <w:rPr>
                <w:rFonts w:ascii="Consolas" w:hAnsi="Consolas"/>
                <w:color w:val="1E1E1E"/>
                <w:sz w:val="17"/>
              </w:rPr>
              <w:t xml:space="preserve">    if cv2.waitKey(1) &amp; 0xFF == ord('q'):</w:t>
            </w:r>
            <w:r>
              <w:rPr>
                <w:rFonts w:ascii="Arial" w:hAnsi="Arial"/>
              </w:rPr>
              <w:br w:type="textWrapping"/>
            </w:r>
            <w:r>
              <w:rPr>
                <w:rFonts w:ascii="Consolas" w:hAnsi="Consolas"/>
                <w:color w:val="1E1E1E"/>
                <w:sz w:val="17"/>
              </w:rPr>
              <w:t xml:space="preserve">        break</w:t>
            </w:r>
            <w:r>
              <w:rPr>
                <w:rFonts w:ascii="Arial" w:hAnsi="Arial"/>
              </w:rPr>
              <w:br w:type="textWrapping"/>
            </w:r>
            <w:r>
              <w:rPr>
                <w:rFonts w:ascii="Arial" w:hAnsi="Arial"/>
              </w:rPr>
              <w:br w:type="textWrapping"/>
            </w:r>
            <w:r>
              <w:rPr>
                <w:rFonts w:ascii="Consolas" w:hAnsi="Consolas"/>
                <w:color w:val="1E1E1E"/>
                <w:sz w:val="17"/>
              </w:rPr>
              <w:t>cap.release()</w:t>
            </w:r>
            <w:r>
              <w:rPr>
                <w:rFonts w:ascii="Arial" w:hAnsi="Arial"/>
              </w:rPr>
              <w:br w:type="textWrapping"/>
            </w:r>
            <w:r>
              <w:rPr>
                <w:rFonts w:ascii="Consolas" w:hAnsi="Consolas"/>
                <w:color w:val="1E1E1E"/>
                <w:sz w:val="17"/>
              </w:rPr>
              <w:t>cv2.destroyAllWindows()</w:t>
            </w:r>
          </w:p>
        </w:tc>
      </w:tr>
    </w:tbl>
    <w:p w14:paraId="3FA572C9">
      <w:pPr>
        <w:pStyle w:val="17"/>
        <w:jc w:val="center"/>
      </w:pPr>
      <w:r>
        <w:t>Código 1. Script de inferencia clásica para detección de accidentes.</w:t>
      </w:r>
    </w:p>
    <w:p w14:paraId="5BEDAC58">
      <w:pPr>
        <w:pStyle w:val="3"/>
        <w:rPr>
          <w:rFonts w:hint="default"/>
          <w:lang w:val="es-ES"/>
        </w:rPr>
      </w:pPr>
      <w:r>
        <w:t xml:space="preserve">Anexo </w:t>
      </w:r>
      <w:r>
        <w:rPr>
          <w:rFonts w:hint="default"/>
          <w:lang w:val="es-ES"/>
        </w:rPr>
        <w:t>C</w:t>
      </w:r>
      <w:r>
        <w:t xml:space="preserve">: </w:t>
      </w:r>
      <w:r>
        <w:rPr>
          <w:rFonts w:hint="default"/>
          <w:lang w:val="es-ES"/>
        </w:rPr>
        <w:t>GITHUB</w:t>
      </w:r>
    </w:p>
    <w:p w14:paraId="457401F9">
      <w:pPr>
        <w:rPr>
          <w:rFonts w:hint="default"/>
          <w:lang w:val="es-ES"/>
        </w:rPr>
      </w:pPr>
      <w:r>
        <w:rPr>
          <w:rFonts w:hint="default"/>
          <w:lang w:val="es-ES"/>
        </w:rPr>
        <w:fldChar w:fldCharType="begin"/>
      </w:r>
      <w:r>
        <w:rPr>
          <w:rFonts w:hint="default"/>
          <w:lang w:val="es-ES"/>
        </w:rPr>
        <w:instrText xml:space="preserve"> HYPERLINK "https://github.com/Mundrack/Proyecto_IA_Accidentes.git" </w:instrText>
      </w:r>
      <w:r>
        <w:rPr>
          <w:rFonts w:hint="default"/>
          <w:lang w:val="es-ES"/>
        </w:rPr>
        <w:fldChar w:fldCharType="separate"/>
      </w:r>
      <w:r>
        <w:rPr>
          <w:rStyle w:val="14"/>
          <w:rFonts w:hint="default"/>
          <w:lang w:val="es-ES"/>
        </w:rPr>
        <w:t>https://github.com/Mundrack/Proyecto_IA_Accidentes.git</w:t>
      </w:r>
      <w:r>
        <w:rPr>
          <w:rFonts w:hint="default"/>
          <w:lang w:val="es-ES"/>
        </w:rPr>
        <w:fldChar w:fldCharType="end"/>
      </w:r>
    </w:p>
    <w:p w14:paraId="6A7BB9AA">
      <w:pPr>
        <w:rPr>
          <w:rFonts w:hint="default"/>
          <w:lang w:val="es-ES"/>
        </w:rPr>
      </w:pPr>
      <w:bookmarkStart w:id="0" w:name="_GoBack"/>
      <w:bookmarkEnd w:id="0"/>
    </w:p>
    <w:p w14:paraId="78E75432"/>
    <w:sectPr>
      <w:headerReference r:id="rId5" w:type="default"/>
      <w:footerReference r:id="rId6" w:type="default"/>
      <w:pgSz w:w="12240" w:h="15840"/>
      <w:pgMar w:top="1247" w:right="1417" w:bottom="1134" w:left="1417" w:header="624" w:footer="62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E3139">
    <w:pPr>
      <w:pStyle w:val="32"/>
      <w:jc w:val="center"/>
    </w:pPr>
    <w:r>
      <w:rPr>
        <w:color w:val="646464"/>
        <w:sz w:val="16"/>
      </w:rPr>
      <w:t xml:space="preserve">Mateo Puga | 08/07/2026 | Página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C1D4E">
    <w:pPr>
      <w:pStyle w:val="24"/>
      <w:jc w:val="right"/>
    </w:pPr>
    <w:r>
      <w:rPr>
        <w:color w:val="646464"/>
        <w:sz w:val="16"/>
      </w:rPr>
      <w:t>Proyecto Golden Hour - Inteligencia Artificial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5"/>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0"/>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9205C4"/>
    <w:rsid w:val="218B6AFD"/>
    <w:rsid w:val="227952B7"/>
    <w:rsid w:val="238A4A63"/>
    <w:rsid w:val="32DE6B26"/>
    <w:rsid w:val="3F7C79BF"/>
    <w:rsid w:val="6C1639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Arial" w:cstheme="minorBidi"/>
      <w:sz w:val="22"/>
      <w:szCs w:val="22"/>
      <w:lang w:val="en-US" w:eastAsia="en-US" w:bidi="ar-SA"/>
    </w:rPr>
  </w:style>
  <w:style w:type="paragraph" w:styleId="2">
    <w:name w:val="heading 1"/>
    <w:basedOn w:val="1"/>
    <w:next w:val="1"/>
    <w:link w:val="41"/>
    <w:qFormat/>
    <w:uiPriority w:val="9"/>
    <w:pPr>
      <w:keepNext/>
      <w:keepLines/>
      <w:spacing w:before="200" w:after="100"/>
      <w:outlineLvl w:val="0"/>
    </w:pPr>
    <w:rPr>
      <w:rFonts w:asciiTheme="majorHAnsi" w:hAnsiTheme="majorHAnsi" w:eastAsiaTheme="majorEastAsia" w:cstheme="majorBidi"/>
      <w:b/>
      <w:bCs/>
      <w:color w:val="1F4E79"/>
      <w:sz w:val="30"/>
      <w:szCs w:val="28"/>
    </w:rPr>
  </w:style>
  <w:style w:type="paragraph" w:styleId="3">
    <w:name w:val="heading 2"/>
    <w:basedOn w:val="1"/>
    <w:next w:val="1"/>
    <w:link w:val="42"/>
    <w:unhideWhenUsed/>
    <w:qFormat/>
    <w:uiPriority w:val="9"/>
    <w:pPr>
      <w:keepNext/>
      <w:keepLines/>
      <w:spacing w:before="200" w:after="100"/>
      <w:outlineLvl w:val="1"/>
    </w:pPr>
    <w:rPr>
      <w:rFonts w:asciiTheme="majorHAnsi" w:hAnsiTheme="majorHAnsi" w:eastAsiaTheme="majorEastAsia" w:cstheme="majorBidi"/>
      <w:b/>
      <w:bCs/>
      <w:color w:val="2F75B5"/>
      <w:sz w:val="26"/>
      <w:szCs w:val="26"/>
    </w:rPr>
  </w:style>
  <w:style w:type="paragraph" w:styleId="4">
    <w:name w:val="heading 3"/>
    <w:basedOn w:val="1"/>
    <w:next w:val="1"/>
    <w:link w:val="43"/>
    <w:unhideWhenUsed/>
    <w:qFormat/>
    <w:uiPriority w:val="9"/>
    <w:pPr>
      <w:keepNext/>
      <w:keepLines/>
      <w:spacing w:before="200" w:after="100"/>
      <w:outlineLvl w:val="2"/>
    </w:pPr>
    <w:rPr>
      <w:rFonts w:asciiTheme="majorHAnsi" w:hAnsiTheme="majorHAnsi" w:eastAsiaTheme="majorEastAsia" w:cstheme="majorBidi"/>
      <w:b/>
      <w:bCs/>
      <w:color w:val="1F4E79"/>
      <w:sz w:val="23"/>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semiHidden/>
    <w:unhideWhenUsed/>
    <w:uiPriority w:val="99"/>
    <w:rPr>
      <w:color w:val="0000FF"/>
      <w:u w:val="single"/>
    </w:rPr>
  </w:style>
  <w:style w:type="character" w:styleId="15">
    <w:name w:val="Strong"/>
    <w:basedOn w:val="11"/>
    <w:qFormat/>
    <w:uiPriority w:val="22"/>
    <w:rPr>
      <w:b/>
      <w:bCs/>
    </w:rPr>
  </w:style>
  <w:style w:type="paragraph" w:styleId="16">
    <w:name w:val="List Continue 2"/>
    <w:basedOn w:val="1"/>
    <w:unhideWhenUsed/>
    <w:uiPriority w:val="99"/>
    <w:pPr>
      <w:spacing w:after="120"/>
      <w:ind w:left="720"/>
      <w:contextualSpacing/>
    </w:pPr>
  </w:style>
  <w:style w:type="paragraph" w:styleId="17">
    <w:name w:val="caption"/>
    <w:basedOn w:val="1"/>
    <w:next w:val="1"/>
    <w:semiHidden/>
    <w:unhideWhenUsed/>
    <w:qFormat/>
    <w:uiPriority w:val="35"/>
    <w:pPr>
      <w:spacing w:line="240" w:lineRule="auto"/>
    </w:pPr>
    <w:rPr>
      <w:rFonts w:ascii="Arial" w:hAnsi="Arial"/>
      <w:b/>
      <w:bCs/>
      <w:i/>
      <w:color w:val="646464"/>
      <w:sz w:val="18"/>
      <w:szCs w:val="18"/>
    </w:rPr>
  </w:style>
  <w:style w:type="paragraph" w:styleId="18">
    <w:name w:val="macro"/>
    <w:link w:val="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9">
    <w:name w:val="List Continue 3"/>
    <w:basedOn w:val="1"/>
    <w:unhideWhenUsed/>
    <w:qFormat/>
    <w:uiPriority w:val="99"/>
    <w:pPr>
      <w:spacing w:after="120"/>
      <w:ind w:left="1080"/>
      <w:contextualSpacing/>
    </w:pPr>
  </w:style>
  <w:style w:type="paragraph" w:styleId="20">
    <w:name w:val="List Continue"/>
    <w:basedOn w:val="1"/>
    <w:unhideWhenUsed/>
    <w:uiPriority w:val="99"/>
    <w:pPr>
      <w:spacing w:after="120"/>
      <w:ind w:left="360"/>
      <w:contextualSpacing/>
    </w:pPr>
  </w:style>
  <w:style w:type="paragraph" w:styleId="21">
    <w:name w:val="Body Text 2"/>
    <w:basedOn w:val="1"/>
    <w:link w:val="48"/>
    <w:unhideWhenUsed/>
    <w:uiPriority w:val="99"/>
    <w:pPr>
      <w:spacing w:after="120" w:line="480" w:lineRule="auto"/>
    </w:pPr>
  </w:style>
  <w:style w:type="paragraph" w:styleId="22">
    <w:name w:val="List 3"/>
    <w:basedOn w:val="1"/>
    <w:unhideWhenUsed/>
    <w:qFormat/>
    <w:uiPriority w:val="99"/>
    <w:pPr>
      <w:ind w:left="1080" w:hanging="360"/>
      <w:contextualSpacing/>
    </w:pPr>
  </w:style>
  <w:style w:type="paragraph" w:styleId="23">
    <w:name w:val="List Number 2"/>
    <w:basedOn w:val="1"/>
    <w:unhideWhenUsed/>
    <w:uiPriority w:val="99"/>
    <w:pPr>
      <w:numPr>
        <w:ilvl w:val="0"/>
        <w:numId w:val="1"/>
      </w:numPr>
      <w:contextualSpacing/>
    </w:pPr>
  </w:style>
  <w:style w:type="paragraph" w:styleId="24">
    <w:name w:val="header"/>
    <w:basedOn w:val="1"/>
    <w:link w:val="38"/>
    <w:unhideWhenUsed/>
    <w:uiPriority w:val="99"/>
    <w:pPr>
      <w:tabs>
        <w:tab w:val="center" w:pos="4680"/>
        <w:tab w:val="right" w:pos="9360"/>
      </w:tabs>
      <w:spacing w:after="0" w:line="240" w:lineRule="auto"/>
    </w:pPr>
  </w:style>
  <w:style w:type="paragraph" w:styleId="25">
    <w:name w:val="List Number 3"/>
    <w:basedOn w:val="1"/>
    <w:unhideWhenUsed/>
    <w:uiPriority w:val="99"/>
    <w:pPr>
      <w:numPr>
        <w:ilvl w:val="0"/>
        <w:numId w:val="2"/>
      </w:numPr>
      <w:contextualSpacing/>
    </w:pPr>
  </w:style>
  <w:style w:type="paragraph" w:styleId="26">
    <w:name w:val="List Number"/>
    <w:basedOn w:val="1"/>
    <w:unhideWhenUsed/>
    <w:uiPriority w:val="99"/>
    <w:pPr>
      <w:numPr>
        <w:ilvl w:val="0"/>
        <w:numId w:val="3"/>
      </w:numPr>
      <w:contextualSpacing/>
    </w:pPr>
  </w:style>
  <w:style w:type="paragraph" w:styleId="27">
    <w:name w:val="List 2"/>
    <w:basedOn w:val="1"/>
    <w:unhideWhenUsed/>
    <w:uiPriority w:val="99"/>
    <w:pPr>
      <w:ind w:left="720" w:hanging="360"/>
      <w:contextualSpacing/>
    </w:pPr>
  </w:style>
  <w:style w:type="paragraph" w:styleId="28">
    <w:name w:val="List Bullet 3"/>
    <w:basedOn w:val="1"/>
    <w:unhideWhenUsed/>
    <w:uiPriority w:val="99"/>
    <w:pPr>
      <w:numPr>
        <w:ilvl w:val="0"/>
        <w:numId w:val="4"/>
      </w:numPr>
      <w:contextualSpacing/>
    </w:pPr>
  </w:style>
  <w:style w:type="paragraph" w:styleId="29">
    <w:name w:val="List"/>
    <w:basedOn w:val="1"/>
    <w:unhideWhenUsed/>
    <w:uiPriority w:val="99"/>
    <w:pPr>
      <w:ind w:left="360" w:hanging="360"/>
      <w:contextualSpacing/>
    </w:pPr>
  </w:style>
  <w:style w:type="paragraph" w:styleId="30">
    <w:name w:val="List Bullet"/>
    <w:basedOn w:val="1"/>
    <w:unhideWhenUsed/>
    <w:uiPriority w:val="99"/>
    <w:pPr>
      <w:numPr>
        <w:ilvl w:val="0"/>
        <w:numId w:val="5"/>
      </w:numPr>
      <w:contextualSpacing/>
    </w:pPr>
  </w:style>
  <w:style w:type="paragraph" w:styleId="31">
    <w:name w:val="List Bullet 2"/>
    <w:basedOn w:val="1"/>
    <w:unhideWhenUsed/>
    <w:uiPriority w:val="99"/>
    <w:pPr>
      <w:numPr>
        <w:ilvl w:val="0"/>
        <w:numId w:val="6"/>
      </w:numPr>
      <w:contextualSpacing/>
    </w:pPr>
  </w:style>
  <w:style w:type="paragraph" w:styleId="32">
    <w:name w:val="footer"/>
    <w:basedOn w:val="1"/>
    <w:link w:val="39"/>
    <w:unhideWhenUsed/>
    <w:qFormat/>
    <w:uiPriority w:val="99"/>
    <w:pPr>
      <w:tabs>
        <w:tab w:val="center" w:pos="4680"/>
        <w:tab w:val="right" w:pos="9360"/>
      </w:tabs>
      <w:spacing w:after="0" w:line="240" w:lineRule="auto"/>
    </w:pPr>
  </w:style>
  <w:style w:type="paragraph" w:styleId="33">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Body Text"/>
    <w:basedOn w:val="1"/>
    <w:link w:val="47"/>
    <w:unhideWhenUsed/>
    <w:uiPriority w:val="99"/>
    <w:pPr>
      <w:spacing w:after="120"/>
    </w:pPr>
  </w:style>
  <w:style w:type="paragraph" w:styleId="35">
    <w:name w:val="Body Text 3"/>
    <w:basedOn w:val="1"/>
    <w:link w:val="49"/>
    <w:unhideWhenUsed/>
    <w:uiPriority w:val="99"/>
    <w:pPr>
      <w:spacing w:after="120"/>
    </w:pPr>
    <w:rPr>
      <w:sz w:val="16"/>
      <w:szCs w:val="16"/>
    </w:rPr>
  </w:style>
  <w:style w:type="paragraph" w:styleId="36">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8">
    <w:name w:val="Header Char"/>
    <w:basedOn w:val="11"/>
    <w:link w:val="24"/>
    <w:uiPriority w:val="99"/>
  </w:style>
  <w:style w:type="character" w:customStyle="1" w:styleId="39">
    <w:name w:val="Footer Char"/>
    <w:basedOn w:val="11"/>
    <w:link w:val="32"/>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itle Char"/>
    <w:basedOn w:val="11"/>
    <w:link w:val="3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Body Text Char"/>
    <w:basedOn w:val="11"/>
    <w:link w:val="34"/>
    <w:uiPriority w:val="99"/>
  </w:style>
  <w:style w:type="character" w:customStyle="1" w:styleId="48">
    <w:name w:val="Body Text 2 Char"/>
    <w:basedOn w:val="11"/>
    <w:link w:val="21"/>
    <w:uiPriority w:val="99"/>
  </w:style>
  <w:style w:type="character" w:customStyle="1" w:styleId="49">
    <w:name w:val="Body Text 3 Char"/>
    <w:basedOn w:val="11"/>
    <w:link w:val="35"/>
    <w:uiPriority w:val="99"/>
    <w:rPr>
      <w:sz w:val="16"/>
      <w:szCs w:val="16"/>
    </w:rPr>
  </w:style>
  <w:style w:type="character" w:customStyle="1" w:styleId="50">
    <w:name w:val="Macro Text Char"/>
    <w:basedOn w:val="11"/>
    <w:link w:val="18"/>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Quote Char"/>
    <w:basedOn w:val="11"/>
    <w:link w:val="51"/>
    <w:uiPriority w:val="29"/>
    <w:rPr>
      <w:i/>
      <w:iCs/>
      <w:color w:val="000000" w:themeColor="text1"/>
      <w14:textFill>
        <w14:solidFill>
          <w14:schemeClr w14:val="tx1"/>
        </w14:solidFill>
      </w14:textFill>
    </w:rPr>
  </w:style>
  <w:style w:type="character" w:customStyle="1" w:styleId="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Intense Quote Char"/>
    <w:basedOn w:val="11"/>
    <w:link w:val="59"/>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5">
    <w:name w:val="Small Center"/>
    <w:uiPriority w:val="0"/>
    <w:pPr>
      <w:spacing w:after="200" w:line="276" w:lineRule="auto"/>
      <w:jc w:val="center"/>
    </w:pPr>
    <w:rPr>
      <w:rFonts w:ascii="Arial" w:hAnsi="Arial" w:eastAsiaTheme="minorEastAsia" w:cstheme="minorBidi"/>
      <w:color w:val="646464"/>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Mateo Puga</dc:creator>
  <dc:description>generated by python-docx</dc:description>
  <cp:lastModifiedBy>MateoGPugaM</cp:lastModifiedBy>
  <dcterms:modified xsi:type="dcterms:W3CDTF">2026-07-09T23:18:56Z</dcterms:modified>
  <dc:subject>Inteligencia Artificial</dc:subject>
  <dc:title>Informe Final - Proyecto Golden Hour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5490FB8A0D764BAA98296A577EA14AE2_12</vt:lpwstr>
  </property>
</Properties>
</file>