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AI STACK ADVISOR</w:t>
      </w:r>
    </w:p>
    <w:p>
      <w:pPr>
        <w:spacing w:after="200"/>
        <w:jc w:val="center"/>
      </w:pPr>
      <w:r>
        <w:rPr>
          <w:b/>
          <w:bCs/>
          <w:color w:val="1F3B57"/>
          <w:sz w:val="56"/>
          <w:szCs w:val="56"/>
        </w:rPr>
        <w:t xml:space="preserve">Product Requirements Document</w:t>
      </w:r>
    </w:p>
    <w:p>
      <w:pPr>
        <w:spacing w:after="800"/>
        <w:jc w:val="center"/>
      </w:pPr>
      <w:r>
        <w:rPr>
          <w:i/>
          <w:iCs/>
          <w:color w:val="2E5C8A"/>
          <w:sz w:val="26"/>
          <w:szCs w:val="26"/>
        </w:rPr>
        <w:t xml:space="preserve">Functional &amp; technical specification</w:t>
      </w:r>
    </w:p>
    <w:p>
      <w:pPr>
        <w:spacing w:after="60"/>
        <w:jc w:val="center"/>
      </w:pPr>
      <w:r>
        <w:rPr>
          <w:b/>
          <w:bCs/>
          <w:color w:val="5B6B7C"/>
          <w:sz w:val="20"/>
          <w:szCs w:val="20"/>
        </w:rPr>
        <w:t xml:space="preserve">Document Version:  </w:t>
      </w:r>
      <w:r>
        <w:rPr>
          <w:color w:val="333333"/>
          <w:sz w:val="20"/>
          <w:szCs w:val="20"/>
        </w:rPr>
        <w:t xml:space="preserve">1.5</w:t>
      </w:r>
    </w:p>
    <w:p>
      <w:pPr>
        <w:spacing w:after="60"/>
        <w:jc w:val="center"/>
      </w:pPr>
      <w:r>
        <w:rPr>
          <w:b/>
          <w:bCs/>
          <w:color w:val="5B6B7C"/>
          <w:sz w:val="20"/>
          <w:szCs w:val="20"/>
        </w:rPr>
        <w:t xml:space="preserve">Status:  </w:t>
      </w:r>
      <w:r>
        <w:rPr>
          <w:color w:val="333333"/>
          <w:sz w:val="20"/>
          <w:szCs w:val="20"/>
        </w:rPr>
        <w:t xml:space="preserve">v1 and v2 shipped, frontend actually wired to the backend — see Section 7.7, Section 9.2, and Release Plan (Section 11). Hexagonal diagram-export architecture, AI Opportunity Layer, technology-catalog unification, Huawei Cloud vendor support, and Hybrid Connectivity added in a later session — see Section 7.2, 7.7, 9.4, and Release Plan.</w:t>
      </w:r>
    </w:p>
    <w:p>
      <w:pPr>
        <w:spacing w:after="60"/>
        <w:jc w:val="center"/>
      </w:pPr>
      <w:r>
        <w:rPr>
          <w:b/>
          <w:bCs/>
          <w:color w:val="5B6B7C"/>
          <w:sz w:val="20"/>
          <w:szCs w:val="20"/>
        </w:rPr>
        <w:t xml:space="preserve">Prepared by:  </w:t>
      </w:r>
      <w:r>
        <w:rPr>
          <w:color w:val="333333"/>
          <w:sz w:val="20"/>
          <w:szCs w:val="20"/>
        </w:rPr>
        <w:t xml:space="preserve">Muneeb, with Claude (Cowork)</w:t>
      </w:r>
    </w:p>
    <w:p>
      <w:pPr>
        <w:spacing w:after="60"/>
        <w:jc w:val="center"/>
      </w:pPr>
      <w:r>
        <w:rPr>
          <w:b/>
          <w:bCs/>
          <w:color w:val="5B6B7C"/>
          <w:sz w:val="20"/>
          <w:szCs w:val="20"/>
        </w:rPr>
        <w:t xml:space="preserve">Date:  </w:t>
      </w:r>
      <w:r>
        <w:rPr>
          <w:color w:val="333333"/>
          <w:sz w:val="20"/>
          <w:szCs w:val="20"/>
        </w:rPr>
        <w:t xml:space="preserve">August 26, 2026</w:t>
      </w:r>
    </w:p>
    <w:p>
      <w:pPr>
        <w:spacing w:after="60"/>
        <w:jc w:val="center"/>
      </w:pPr>
      <w:r>
        <w:rPr>
          <w:b/>
          <w:bCs/>
          <w:color w:val="5B6B7C"/>
          <w:sz w:val="20"/>
          <w:szCs w:val="20"/>
        </w:rPr>
        <w:t xml:space="preserve">Companion document:  </w:t>
      </w:r>
      <w:r>
        <w:rPr>
          <w:color w:val="333333"/>
          <w:sz w:val="20"/>
          <w:szCs w:val="20"/>
        </w:rPr>
        <w:t xml:space="preserve">Business Requirements Document (BRD)</w:t>
      </w:r>
    </w:p>
    <w:p>
      <w:r>
        <w:br w:type="page"/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PRD, written to document v1 (shipped) and v2 (designed, pending backend access) — this PRD was written after v1 was built and validated, not before, and reflects the actual implementation rather than a forward-looking spec alone.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after a two-pass rule-engine expansion (separate session, frontend-only): signal count grew from ~35 to 65+, pickX() functions from ~30 to 45, spanning 8 new use-case domains, a directional cost estimator, a semantic-routing/guardrail-service dimension, and governance/security dimensions. Also new: a 12-file RAG knowledge-base corpus (docs/use-case-knowledge-base/) and a 21-case retrieval evaluation set. Section counts (16) and the core client-side-only architecture (NFR-5) are unchanged.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 backend built and tested in a later session (FastAPI + Postgres + Alembic; share links, /api/refine, /api/ask, and the MCP tool wrapper — FR-27/28/29 all shipped, /api/refine and /api/ask grounded in the 1.1 RAG corpus). Updated Section 7.7, 9.2, and the Release Plan (Section 11) to reflect that; no functional requirement content changed, only status.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 via a documentation-vs-code validation pass: FR-27–29 marked "Shipped" based on the backend alone, without ever stating whether index.html actually called those endpoints — for a real stretch of this project it didn't (confirmed by grep: zero fetch() calls). Rewrote Section 7.7 to state both layers explicitly, added FR-27a (independent ask), FR-30 (why-this-pick signal inspection), and FR-31 (real cost display) — all shipped but previously undocumented. Corrected the Release Plan's stale "44 passing tests" to the actual 93 (verified via a live pytest run, not the prior static count).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 Open Questions in Section 13 (target segment hypothesis, telemetry privacy policy, low-overhead feedback mechanism) and formalized Flow View as FR-31a with cross-reference to v1.5 Release Plan.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Later session: refactored diagram export (Flow View, Mermaid, Draw.io, SVG) onto a single hexagonal-architecture domain core (Section 9.4) — fixed a real inconsistency where exporters showed 5-8 nodes against Flow View's 18-20. Added the AI Opportunity &amp; Leverage Layer (FR-32), unified the technology catalog into one source of truth with a maintainer CLI and client-side custom overlay (FR-33), added Huawei Cloud vendor support (FR-34) and a new Hybrid Connectivity core category (FR-6a, 16th category). Corrected stale counts: signal dimensions 65+ -&gt; 100+, pickX() functions 45 -&gt; 47, KB technologies now 243. Two real bugs found and fixed during this work, not just features added — see Section 12.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2. Product Overview</w:t>
      </w:r>
    </w:p>
    <w:p>
      <w:pPr>
        <w:spacing w:after="160" w:line="276"/>
      </w:pPr>
      <w:r>
        <w:rPr>
          <w:sz w:val="21"/>
          <w:szCs w:val="21"/>
        </w:rPr>
        <w:t xml:space="preserve">AI Stack Advisor is a single-page web application. A user pastes a free-text description of their product or business requirement; the application detects signals in that text across 100+ dimensions (industry, scale, compliance, latency, data type, team size, existing vendor commitments, and more) and renders a full architecture recommendation organized into 16 navigable sections, covering both traditional infrastructure decisions and AI-native decisions.</w:t>
      </w:r>
    </w:p>
    <w:p>
      <w:pPr>
        <w:spacing w:after="160" w:line="276"/>
      </w:pPr>
      <w:r>
        <w:rPr>
          <w:sz w:val="21"/>
          <w:szCs w:val="21"/>
        </w:rPr>
        <w:t xml:space="preserve">v1 runs entirely client-side: a JavaScript rule engine embedded in a single HTML file, with no server, no API calls, and no data leaving the browser. v2 adds an optional backend for LLM-assisted refinement of ambiguous cases (grounded in a RAG knowledge-base corpus), persistence via share links, and an MCP tool wrapper for use from Claude Desktop/Code — all shipped.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3. Problem Statement</w:t>
      </w:r>
    </w:p>
    <w:p>
      <w:pPr>
        <w:spacing w:after="160" w:line="276"/>
      </w:pPr>
      <w:r>
        <w:rPr>
          <w:sz w:val="21"/>
          <w:szCs w:val="21"/>
        </w:rPr>
        <w:t xml:space="preserve">See BRD Section 3 for the full business framing. In product terms: a user with a business requirement in their head has no fast way to translate it into a concrete, defensible technology and AI architecture without either (a) already having architect-level expertise across infrastructure, application design, and AI systems simultaneously, or (b) spending days researching and cross-referencing trade-offs manually.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4. Goals &amp; Non-Goals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4.1 Goals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Zero-friction input: a single free-text field, no wizard, no required structured fields.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Complete-in-one-pass output: every major architecture decision category answered in a single analysis, not a multi-step flow.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Transparent reasoning: every recommendation states why, and every head-to-head trade-off states when to switch.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Honest uncertainty: confidence badges distinguish signal-driven recommendations from defaults.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AI-native depth: LLM sizing, RAG taxonomy, hosting, guardrails, and MCP are first-class sections, not an afterthought bolted onto a generic web-stack tool.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4.2 Non-Goals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Not an infrastructure provisioning tool — never executes changes, only recommends.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Not a benchmarked "ground truth" tool — v1 has not been validated against expert architect judgment at scale, only against internally crafted test scenarios (see Section 12).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Not (yet) a multi-user collaborative product — no accounts, no shared workspaces in v1 or v2.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5. Target Users &amp; Personas</w:t>
      </w:r>
    </w:p>
    <w:p>
      <w:pPr>
        <w:spacing w:after="160" w:line="276"/>
      </w:pPr>
      <w:r>
        <w:rPr>
          <w:sz w:val="21"/>
          <w:szCs w:val="21"/>
        </w:rPr>
        <w:t xml:space="preserve">The product explicitly frames its output as synthesizing six professional perspectives; each stack recommendation is tagged with the role that would typically own that decision. These are not separate personas of the tool's users — they describe whose judgment the tool is trying to approximate for a user who may not have access to all six.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Perspective</w:t>
            </w:r>
          </w:p>
        </w:tc>
        <w:tc>
          <w:tcPr>
            <w:tcW w:type="dxa" w:w="6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Typically owns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Enterprise Architect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provider, IAM, service mesh</w:t>
            </w:r>
          </w:p>
        </w:tc>
      </w:tr>
      <w:tr>
        <w:tc>
          <w:tcPr>
            <w:tcW w:type="dxa" w:w="2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6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gateway/edge, architecture style, compute model, DNS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Architect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Languages, messaging, database, frontend</w:t>
            </w:r>
          </w:p>
        </w:tc>
      </w:tr>
      <w:tr>
        <w:tc>
          <w:tcPr>
            <w:tcW w:type="dxa" w:w="2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Architect</w:t>
            </w:r>
          </w:p>
        </w:tc>
        <w:tc>
          <w:tcPr>
            <w:tcW w:type="dxa" w:w="6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selection, model orchestration, RAG, guardrails, MCP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SDE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Caching, containers, CI/CD, concurrency/throughput</w:t>
            </w:r>
          </w:p>
        </w:tc>
      </w:tr>
      <w:tr>
        <w:tc>
          <w:tcPr>
            <w:tcW w:type="dxa" w:w="2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TPM</w:t>
            </w:r>
          </w:p>
        </w:tc>
        <w:tc>
          <w:tcPr>
            <w:tcW w:type="dxa" w:w="6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Observability ownership (shared with SDE), governance (KRA/KPI/SLA/reliability)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The actual end-user segments (who opens the tool) are addressed in BRD Section 5 and remain an open commitment — non-technical founder, developer/technical founder, and enterprise architect/TPM are the three candidate segments, each requiring a different depth/hand-holding balance this PRD does not yet resolve.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6.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want...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solo founder scoping an MVP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want a stack recommendation from one paragraph of description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that I don't need to hire an architect before writing my first line of code.</w:t>
            </w:r>
          </w:p>
        </w:tc>
      </w:tr>
      <w:tr>
        <w:tc>
          <w:tcPr>
            <w:tcW w:type="dxa" w:w="2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developer evaluating Kafka vs. a managed queue</w:t>
            </w:r>
          </w:p>
        </w:tc>
        <w:tc>
          <w:tcPr>
            <w:tcW w:type="dxa" w:w="3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want the tool to tell me not just what to pick but exactly when I'd need to switch</w:t>
            </w:r>
          </w:p>
        </w:tc>
        <w:tc>
          <w:tcPr>
            <w:tcW w:type="dxa" w:w="3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that I can defer the decision confidently instead of over-engineering on day one.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AI product builder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want guidance on LLM size, RAG pattern, and guardrail placement specific to my use case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that I don't have to separately research 14 RAG variants and cross-reference them against my compliance needs.</w:t>
            </w:r>
          </w:p>
        </w:tc>
      </w:tr>
      <w:tr>
        <w:tc>
          <w:tcPr>
            <w:tcW w:type="dxa" w:w="2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engineer in a regulated/air-gapped environment</w:t>
            </w:r>
          </w:p>
        </w:tc>
        <w:tc>
          <w:tcPr>
            <w:tcW w:type="dxa" w:w="3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want the tool to recognize that constraint and never recommend a public-cloud service</w:t>
            </w:r>
          </w:p>
        </w:tc>
        <w:tc>
          <w:tcPr>
            <w:tcW w:type="dxa" w:w="3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that I can trust the output enough to act on it without re-checking every line.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TPM setting up a new service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want starter KRA/KPI/SLA targets tailored to my project's risk profile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 that I have a first draft to negotiate with stakeholders instead of starting from a blank page.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7. Functional Requirements</w:t>
      </w:r>
    </w:p>
    <w:p>
      <w:pPr>
        <w:spacing w:after="160" w:line="276"/>
      </w:pPr>
      <w:r>
        <w:rPr>
          <w:sz w:val="21"/>
          <w:szCs w:val="21"/>
        </w:rPr>
        <w:t xml:space="preserve">Grouped by module. Each row reflects what is actually implemented in v1 unless marked otherwise.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7.1 Input &amp; Signal Detection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free-text business/product requirement input via a single textarea; no required structured fields.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five one-click example scenarios spanning fintech, healthcare, e-commerce, enterprise, and early-stage MVP profiles.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65+ signal dimensions from the input text (industry, scale, compliance, latency, data type, team size, cloud vendor mentions, language mentions, and more) via keyword and pattern matching.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Strip short negated clauses ("no compliance requirements", "don't need X") before signal matching, so stated non-requirements are not read as requirements.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on-premises/air-gapped/no-public-cloud requirements from raw (non-negation-stripped) text, since these are phrased using negation words that are themselves the requirement.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7.2 Core Technical Stack (16 categories)</w:t>
      </w:r>
    </w:p>
    <w:p>
      <w:pPr>
        <w:spacing w:after="160" w:line="276"/>
      </w:pPr>
      <w:r>
        <w:rPr>
          <w:sz w:val="21"/>
          <w:szCs w:val="21"/>
        </w:rPr>
        <w:t xml:space="preserve">Cloud provider, API gateway/edge, IAM, backend language(s), architecture style, compute model, messaging/streaming, service mesh, caching, primary database(s), containers/orchestration, observability, frontend, CI/CD &amp; deployment, DNS, hybrid connectivity.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of the 16 stack categories must return a recommendation, a plain-language rationale, a confidence rating (High/Medium/Low), and the architect role that typically owns that decision.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FR-6a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Hybrid Connectivity category (added later session): recommend a dedicated-link + transit-hub pairing matched to the chosen cloud vendor (AWS Direct Connect+Transit Gateway, Azure ExpressRoute+Virtual WAN, GCP Cloud Interconnect+Network Connectivity Center, Huawei Direct Connect+Enterprise Router) plus VPN-failover and MACsec guidance, when a dedicated on-prem-to-cloud link is detected. Always rendered as the 16th card; content states "not required" or "not applicable" (air-gapped) rather than the card being hidden, matching every other always-shown category.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On-premises/air-gapped detection (FR-5) must override the default recommendation in every category where a public-cloud service would otherwise be suggested (cloud, gateway, compute, containers, observability, CI/CD, DNS, hybrid connectivity).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Analytics/ETL-heavy workloads without a transactional, chat, or RAG signal must be routed to a data-warehouse recommendation (BigQuery/Snowflake/Redshift) rather than a general-purpose OLTP database.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FR-9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Conflicting signals (e.g. a small team combined with high-scale/enterprise requirements) must resolve to a stated middle-ground recommendation with the conflict acknowledged in the rationale, not a recommendation whose own justification contradicts part of the input.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7.3 Key Trade-off Decisions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explicit head-to-head recommendations for: single-cloud vs. multi-cloud, Terraform vs. Pulumi/CDK/native IaC, Kafka vs. Pub/Sub vs. managed queue, and Kubernetes vs. serverless.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trade-off must state the recommendation, why, and an explicit "switch when" condition describing the trigger for reconsidering.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On-premises detection must override the cloud-strategy trade-off entirely, replacing the single-vs-multi-cloud question with a public-cloud-vs-on-premises framing.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7.4 AI / LLM Strategy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single-model vs. multi-model orchestration strategy, with a standing task-to-model mapping table (reasoning/design, code generation, classification/routing, RAG synthesis, agent orchestration).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local vs. cloud model hosting based on budget and security/compliance signals, including a stated cost-crossover heuristic.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a VRAM sizing reference table (4B/12B/30B/70B+ tiers, fp16 and int4-quantized footprints, typical GPU, notes) with the tier suited to the user's inputs highlighted.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FR-16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interface topology (hybrid / distributed / mesh, each defined in-product) separately for the LLM serving layer and the RAG/retrieval layer.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FR-17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MCP vs. direct API integration, with the reuse/multi-client condition that should trigger adopting MCP.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FR-18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a RAG architecture from a 14-variant taxonomy, or explicitly state that RAG is not required, including the specific case where retrieval should target structured/SQL data instead of a vector store.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FR-19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explicitly where the vector database sits in the pipeline (or that none is required), and recommend a specific vector store choice based on existing database investment and scale.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FR-20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guardrails as a 5-stage pipeline (input, retrieval/tool-call, in-flight generation, output, post-hoc evals/monitoring) — never input/output only.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7.5 Cost, Throughput &amp; Governance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FR-21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cost/resource optimization recommendations (compute right-sizing, reserved vs. spot capacity, storage tiering, LLM cost routing, caching, FinOps tagging).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FR-22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concurrency/throughput recommendations (async I/O, connection pooling, autoscaling strategy, read replicas, CDN, backpressure, response streaming, circuit breakers).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governance targets across four categories — KRA, KPI, SLA, and reliability/continuous-improvement (MTTD/MTTR, postmortem cadence, error-budget policy) — tuned by the same input signals as the rest of the output, with an explicit disclaimer that these are starting-point defaults, not commitments.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7.6 Navigation &amp; Presentation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FR-24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a sticky navigation bar with jump-links to all 16 result sections.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FR-25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each result section as an independently collapsible element, defaulting to open, with a single Collapse All / Expand All control.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FR-26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all detected input signals as a visible chip list before the recommendation sections, so the user can see what drove the output.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7.7 v2 — Shipped</w:t>
      </w:r>
    </w:p>
    <w:p>
      <w:pPr>
        <w:spacing w:after="160" w:line="276"/>
      </w:pPr>
      <w:r>
        <w:rPr>
          <w:i/>
          <w:iCs/>
          <w:color w:val="5B6B7C"/>
          <w:sz w:val="19"/>
          <w:szCs w:val="19"/>
        </w:rPr>
        <w:t xml:space="preserve">"Shipped" below means both layers: the backend endpoint is built and tested, AND index.html has a real, clickable UI element wired to call it. Earlier revisions of this table only asserted the first layer — for a stretch of this project's history the backend was fully shipped while index.html had zero fetch() calls to it at all. That gap is closed as of the guided-mode + backend-wiring milestone; both are true now.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18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optional "Refine with AI" pass that sends the free-text input and the v1 rule-engine output to an LLM (user's own Anthropic API key) for cases where the rules are uncertain. Adjustments are only made when the model can cite a specific reason; every pass is kept, not overwritten, so the reasoning history is comparable across repeated passes.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POST /api/refine, per-card "✨ Refine with AI" button in index.html, refinement history retained client-side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FR-27a</w:t>
            </w:r>
          </w:p>
        </w:tc>
        <w:tc>
          <w:tcPr>
            <w:tcW w:type="dxa" w:w="5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Follow-up Q&amp;A scoped to a recommendation, independent of whether refine has been used on that card first.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POST /api/ask, independent "💬 Ask a question" button in index.html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FR-28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links: persist a completed analysis to a shareable URL, rendered read-only with the input form and AI buttons removed.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POST /api/analyses/{id}/share, "📎 Share this analysis" button, ?shared=SLUG read-only view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FR-29</w:t>
            </w:r>
          </w:p>
        </w:tc>
        <w:tc>
          <w:tcPr>
            <w:tcW w:type="dxa" w:w="5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MCP tool wrapper (recommend_stack(...)) callable from Claude Desktop/Code directly.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which specific detected signals drove each stack card's recommendation, not just a confidence badge, so the "why" is inspectable per pick rather than only stated as prose.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client-side only, no backend dependency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FR-31</w:t>
            </w:r>
          </w:p>
        </w:tc>
        <w:tc>
          <w:tcPr>
            <w:tcW w:type="dxa" w:w="5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real LLM token cost (from the Anthropic response) alongside the existing directional cost estimate once a refine/ask call has been made.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backend returns real usage from message.usage; not persisted to any table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FR-31a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 View: interactive node-canvas visualization of the architecture recommendation (pan/zoom canvas, minimap, tier-colored nodes) as an alternate to the 16-section card view. Cross-references Release Plan v1.5.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client-side only, no backend dependency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FR-32</w:t>
            </w:r>
          </w:p>
        </w:tc>
        <w:tc>
          <w:tcPr>
            <w:tcW w:type="dxa" w:w="5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Opportunity &amp; Leverage Layer: a 12-pattern catalog across all 6 architecture tiers (client/edge/compute/data/ai/ops), attached to Flow View nodes as "New AI Leverage Point" (gap — no AI touchpoint yet) or "AI Optimization Point" (an existing AI touchpoint could be upgraded). Text-to-SQL specifically enforces High complexity and mandatory read-only-replica/PII-tokenization/audit-trail prerequisites when finance/healthcare/compliance/onPrem signals are present, so regulated environments are never advised to expose transactional tables to unconstrained LLMs.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client-side only, no backend dependency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Technology catalog unified into a single source of truth (#stackKbData.technologies, 243 entries) powering citations/ADR export, with a maintainer CLI (scripts/add_tech.py) that validates schema/domain/maturity-ring/duplicates before any entry is added, and a client-side localStorage overlay letting a user add a custom technology without editing the shipped catalog.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client-side + a Python authoring script, no backend dependency for the app itself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FR-34</w:t>
            </w:r>
          </w:p>
        </w:tc>
        <w:tc>
          <w:tcPr>
            <w:tcW w:type="dxa" w:w="5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Huawei Cloud vendor support: signal detection plus vendor-specific recommendations across cloud provider, API gateway (APIG + ROMA Connect), containers (CCE), DNS, observability (Cloud Eye + LTS), and CI/CD (CodeArts) — the same 6 categories AWS/Azure/GCP already branch on.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 — client-side (index.html); backend rule_engine.py has the detection signal only, not the pick-logic branches — see Section 12 for why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8. Non-Functional Requirements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NFR-1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 must run entirely client-side with zero external network calls, so no user input ever leaves the browser.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NFR-2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Analysis must render synchronously with no perceptible delay (rule engine, not an LLM call) — this is a deliberate differentiator from LLM-generation-based competitors.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page must remain usable at 16+ result sections via the navigation/collapse features in FR-24/FR-25 rather than requiring a redesign as scope grows.</w:t>
            </w:r>
          </w:p>
        </w:tc>
      </w:tr>
      <w:tr>
        <w:tc>
          <w:tcPr>
            <w:tcW w:type="dxa" w:w="1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NFR-4</w:t>
            </w:r>
          </w:p>
        </w:tc>
        <w:tc>
          <w:tcPr>
            <w:tcW w:type="dxa" w:w="74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tool must never claim higher certainty than its signal detection supports — every recommendation carries a confidence rating (NFR extension of FR-6), and defaults are visually distinct (Low confidence) from signal-driven picks (High/Medium).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NFR-5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v2's optional backend features must degrade gracefully — the client-side experience (v1) must remain fully functional if the backend is unavailable or the user has no API key.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9. System Architecture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9.1 v1 — As Built</w:t>
      </w:r>
    </w:p>
    <w:p>
      <w:pPr>
        <w:spacing w:after="160" w:line="276"/>
      </w:pPr>
      <w:r>
        <w:rPr>
          <w:sz w:val="21"/>
          <w:szCs w:val="21"/>
        </w:rPr>
        <w:t xml:space="preserve">A single self-contained HTML file. A JavaScript rule engine (detectSignals() plus 45 pickX() functions, one per recommendation category) runs synchronously in the browser on form submit. No build step, no framework, no dependencies — chosen deliberately for a tool at this stage of validation, where operational simplicity matters more than the marginal benefit a framework would add (see BRD Section 3.3 differentiation on "zero cost to run").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9.2 v2 — Shipped</w:t>
      </w:r>
    </w:p>
    <w:p>
      <w:pPr>
        <w:spacing w:after="160" w:line="276"/>
      </w:pPr>
      <w:r>
        <w:rPr>
          <w:sz w:val="21"/>
          <w:szCs w:val="21"/>
        </w:rPr>
        <w:t xml:space="preserve">Documented in full in the companion v2 Design Document. A FastAPI backend adds two endpoints — POST /api/refine (LLM-assisted reconciliation of ambiguous rule-engine output, only overriding a v1 pick when it can cite a specific reason from the input text) and POST /api/ask (grounded follow-up Q&amp;A scoped to the current recommendation). Postgres stores shared analyses. An MCP server wraps the same logic as a callable recommend_stack(...) tool. All three require the user's own Anthropic API key, passed per-request and never stored server-side. All four pieces (share links, /api/refine, /api/ask, MCP tool) are built and tested — see backend/README.md for the running system's test suite and quickstart.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9.3 Data Flow (v1)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1"/>
          <w:szCs w:val="21"/>
        </w:rPr>
        <w:t xml:space="preserve">User enters free text and clicks Analyze.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1"/>
          <w:szCs w:val="21"/>
        </w:rPr>
        <w:t xml:space="preserve">detectSignals(text) returns a signals object (65+ boolean/derived fields).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1"/>
          <w:szCs w:val="21"/>
        </w:rPr>
        <w:t xml:space="preserve">Each pickX(signals) function returns a recommendation, rationale, and confidence rating for its category.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1"/>
          <w:szCs w:val="21"/>
        </w:rPr>
        <w:t xml:space="preserve">The results are assembled into 16 sections, rendered into the DOM inside a sticky-nav/collapsible-section shell.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sz w:val="21"/>
          <w:szCs w:val="21"/>
        </w:rPr>
        <w:t xml:space="preserve">Nothing is persisted unless the user explicitly saves/shares it via v2's share-link feature; a page refresh otherwise clears all state.</w:t>
      </w:r>
    </w:p>
    <w:p>
      <w:pPr>
        <w:pStyle w:val="Heading2"/>
        <w:spacing w:after="120" w:before="280"/>
      </w:pPr>
      <w:r>
        <w:rPr>
          <w:b/>
          <w:bCs/>
          <w:color w:val="2E5C8A"/>
          <w:sz w:val="24"/>
          <w:szCs w:val="24"/>
        </w:rPr>
        <w:t xml:space="preserve">9.4 Diagram Export Architecture (Hexagonal / Ports &amp; Adapters)</w:t>
      </w:r>
    </w:p>
    <w:p>
      <w:pPr>
        <w:spacing w:after="160" w:line="276"/>
      </w:pPr>
      <w:r>
        <w:rPr>
          <w:sz w:val="21"/>
          <w:szCs w:val="21"/>
        </w:rPr>
        <w:t xml:space="preserve">Added in a later session, documented in full in docs/walkthrough-hexagonal-refactor.md. Prior to this, buildFlowGraph() (Flow View) and the three exporters (Mermaid, Draw.io, SVG) each independently re-derived their own view of the architecture from the raw recommendation object — Flow View showed 18-20 nodes, the exporters showed a hardcoded 5-8. buildCanonicalArchitectureGraph(ctx, signals) is now the single pure domain core (no browser globals, no file-format strings, no pixel coordinates) that every consumer builds from: layoutFlowGraph(graph) is the presentation adapter that adds x/y/color for Flow View only, and the three exporters serialize the same canonical {nodes, edges} instead of a reduced subset. Mirrors the ports-and-adapters separation already enforced in a sibling project's (Swish_App) HexagonalArchitectureTest.java, adapted to this repo's single-file frameworkless constraint (no Java package tree, no build step) as a static-analysis contract test (backend/tests/test_architecture_contracts.py) plus Node-executed runtime checks instead.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10. Success Metrics</w:t>
      </w:r>
    </w:p>
    <w:p>
      <w:pPr>
        <w:spacing w:after="160" w:line="276"/>
      </w:pPr>
      <w:r>
        <w:rPr>
          <w:sz w:val="21"/>
          <w:szCs w:val="21"/>
        </w:rPr>
        <w:t xml:space="preserve">See BRD Section 7 for the full metric definitions (completion rate, re-use rate, disagreement rate, segment concentration, cost per active user). No instrumentation exists yet in v1 — this is listed as an open item in Section 13.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11. Release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  <w:gridCol w:w="18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6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stack (15 categories) + AI/LLM recommendation + RAG + guardrails + MCP servers needed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v1.1</w:t>
            </w:r>
          </w:p>
        </w:tc>
        <w:tc>
          <w:tcPr>
            <w:tcW w:type="dxa" w:w="6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Trade-off decisions, cost/throughput, governance sections; persona tagging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serving/integration layer: orchestration, hosting/VRAM, topology, MCP-vs-API, guardrail pipeline, vector DB placement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v1.3</w:t>
            </w:r>
          </w:p>
        </w:tc>
        <w:tc>
          <w:tcPr>
            <w:tcW w:type="dxa" w:w="6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Sticky nav + collapsible sections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v1.4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Validation/QA pass — negation handling, on-prem support, warehouse detection, conflict-resolution fixes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v1.5</w:t>
            </w:r>
          </w:p>
        </w:tc>
        <w:tc>
          <w:tcPr>
            <w:tcW w:type="dxa" w:w="6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 View: node-canvas visualization of the recommendation (n8n/Voiceflow/VectorShift-style pan/zoom/drag graph, alternate to the card view); recursive logic audit — fixed several false-positive signal matches and a same-report contradiction between the Compute Model card and the Kubernetes-vs-Serverless trade-off card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v2.0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links, LLM refinement endpoint (/api/refine), grounded follow-up Q&amp;A (/api/ask), MCP tool wrapper (recommend_stack) — FastAPI + Postgres + Alembic backend, 93 passing/xfailed tests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v2.1</w:t>
            </w:r>
          </w:p>
        </w:tc>
        <w:tc>
          <w:tcPr>
            <w:tcW w:type="dxa" w:w="60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wiring: guided-input wizard, per-card Refine/Ask buttons actually calling the v2.0 backend, share button, ?shared=SLUG read-only view, why-this-pick signal inspection, refinement-pass history, real LLM cost display</w:t>
            </w:r>
          </w:p>
        </w:tc>
        <w:tc>
          <w:tcPr>
            <w:tcW w:type="dxa" w:w="1800"/>
            <w:shd w:fill="EAF0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Hexagonal diagram-export refactor (Section 9.4) — fixed Flow View/exporter node-count inconsistency; AI Opportunity &amp; Leverage Layer (FR-32) — fixed a phantom-signal-key bug that had silently disabled the compliance guardrail it shipped with; technology catalog unified to one source of truth with maintainer CLI + custom overlay (FR-33); Huawei Cloud vendor support (FR-34); Hybrid Connectivity category (FR-6a) — fixed a pre-existing onPrem false-positive this work surfaced (see Section 12)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Shipped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12. Known Limitations</w:t>
      </w:r>
    </w:p>
    <w:p>
      <w:pPr>
        <w:spacing w:after="160" w:line="276"/>
      </w:pPr>
      <w:r>
        <w:rPr>
          <w:sz w:val="21"/>
          <w:szCs w:val="21"/>
        </w:rPr>
        <w:t xml:space="preserve">From the Validation Report and general assessment — listed explicitly so they are tracked, not discovered later: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Keyword/pattern matching is inherently approximate; the negation-stripping fix (FR-4) reduces but does not eliminate false-positive signal detection on unusual phrasing.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No benchmark exists against real expert-architect judgment — validation to date is internal scenario testing (35+ crafted scenarios across the original validation pass and the two-round expansion pass), not comparison against how senior architects would actually decide the same inputs, and not real end users.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The rule engine encodes a snapshot of current technology/model landscape knowledge and will drift out of date as new models, tools, and best practices emerge, with no automated update mechanism.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Confidence ratings reflect how much matching signal was detected, not an externally validated probability of correctness — a "High confidence" pick is high-confidence in the sense that strong signal supports it, not that it has been checked against ground truth.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The docs/use-case-knowledge-base/ corpus is written for RAG retrieval but has only been tested against a local TF-IDF prototype (lexical similarity), not the real embedding-based retrieval /api/refine/ask now use in production — 18/21 eval cases passed against that prototype, with one concrete finding (keyword-dense "Signals/triggers" chunks out-ranking substantive content chunks) already fed back into the ingestion guide. See docs/use-case-knowledge-base/RETRIEVAL-EVAL-SET.md.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backend/app/rule_engine.py (Python) has the detection *signals* for Huawei Cloud and Hybrid Connectivity, kept in parity with index.html's detectSignals() by design, but does NOT replicate the vendor-specific pick-logic branches those signals feed into on the frontend — this is a deliberate, documented scope boundary (see FR-34 and each feature's test-file docstring), not an oversight, because nothing currently exercises rule_engine.py's picks from a live request path the way index.html's picks are exercised by the browser UI. If that changes, this gap becomes worth closing.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Python's strong_on_prem keyword list (rule_engine.py) is missing "own server(s)"/"in-house server(s)", which index.html's detectSignals() already has (added there after a documented live-test finding). Found while building Hybrid Connectivity, not fixed — out of scope for that change, flagged here so it is not lost.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13. Open Questions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sz w:val="21"/>
          <w:szCs w:val="21"/>
        </w:rPr>
        <w:t xml:space="preserve">RESOLVED (v1.4): Target segment commitment — committed direction is Segment 2 (Tech Leads &amp; Staff Architects at scaling startups/SMBs) as the primary ICP, with Segment 1 (solo founders) as the frictionless on-ramp. This is a committed direction, not yet confirmed by usage — the existing Segment Concentration metric in Section 10 / BRD Section 7 is specifically what will validate or overturn this hypothesis.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sz w:val="21"/>
          <w:szCs w:val="21"/>
        </w:rPr>
        <w:t xml:space="preserve">RESOLVED (v1.1): a directional monthly cost estimator was added — compute/database/LLM-API bands by scale tier, with LLM cost broken out by model tier specifically. Deliberately a range, not a point estimate, and explicitly caveated as a planning figure, not a quote, since a client-side tool has no live pricing API. See docs/use-case-knowledge-base/09-cost-estimation-methodology.md for full sourcing.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sz w:val="21"/>
          <w:szCs w:val="21"/>
        </w:rPr>
        <w:t xml:space="preserve">RESOLVED (v1.4): Telemetry &amp; privacy policy (NFR-1) — never transmit free-text inputs, diagram payloads, or entity names. If telemetry is ever built, it must be strictly opt-in and restricted to anonymous categorical event counts (e.g. export format clicked, diagram format uploaded). No receiving backend endpoint or telemetry infrastructure exists today, and this policy decision does not constitute a commitment to build one.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sz w:val="21"/>
          <w:szCs w:val="21"/>
        </w:rPr>
        <w:t xml:space="preserve">RESOLVED (v1.4): Rule-engine feedback mechanism — adopt a low-overhead "Disagree with pick → Open GitHub Issue / Copy Markdown" workflow that formats the active signal, rule ID, and pick rationale. Known limitation: requiring a GitHub issue is real friction for a mid-review staff engineer, so conversion is expected to be low — a clean zero-backend starting point, not a claim of high adoption.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sz w:val="21"/>
          <w:szCs w:val="21"/>
        </w:rPr>
        <w:t xml:space="preserve">RESOLVED (v1.4): Flow View formalization — formalized as FR-31a in Section 7.7, cross-referenced against the existing v1.5 Release Plan entry rather than treated as newly discovered.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Page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of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648"/>
      </w:tabs>
    </w:pPr>
    <w:r>
      <w:rPr>
        <w:color w:val="5B6B7C"/>
        <w:sz w:val="16"/>
        <w:szCs w:val="16"/>
      </w:rPr>
      <w:t xml:space="preserve">Product Requirements Document</w:t>
    </w:r>
    <w:r>
      <w:rPr>
        <w:color w:val="5B6B7C"/>
        <w:sz w:val="16"/>
        <w:szCs w:val="16"/>
      </w:rPr>
      <w:t xml:space="preserve">	AI Stack Advisor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2026-08-26T07:43:26.754Z</dcterms:created>
  <dcterms:modified xsi:type="dcterms:W3CDTF">2026-08-26T07:43:26.754Z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