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1.8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shipped, frontend actually wired to the backend — see Section 7.7, Section 9.2, and Release Plan (Section 11). Hexagonal diagram-export architecture, AI Opportunity Layer, technology-catalog unification, Huawei Cloud vendor support, and Hybrid Connectivity added in a later session — see Section 7.2, 7.7, 9.4, and Release Plan.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31,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Found via a documentation-vs-code validation pass: FR-27–29 marked "Shipped" based on the backend alone, without ever stating whether index.html actually called those endpoints — for a real stretch of this project it didn't (confirmed by grep: zero fetch() calls). Rewrote Section 7.7 to state both layers explicitly, added FR-27a (independent ask), FR-30 (why-this-pick signal inspection), and FR-31 (real cost display) — all shipped but previously undocumented. Corrected the Release Plan's stale "44 passing tests" to the actual 93 (verified via a live pytest run, not the prior static count).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Resolved Open Questions in Section 13 (target segment hypothesis, telemetry privacy policy, low-overhead feedback mechanism) and formalized Flow View as FR-31a with cross-reference to v1.5 Release Plan.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refactored diagram export (Flow View, Mermaid, Draw.io, SVG) onto a single hexagonal-architecture domain core (Section 9.4) — fixed a real inconsistency where exporters showed 5-8 nodes against Flow View's 18-20. Added the AI Opportunity &amp; Leverage Layer (FR-32), unified the technology catalog into one source of truth with a maintainer CLI and client-side custom overlay (FR-33), added Huawei Cloud vendor support (FR-34) and a new Hybrid Connectivity core category (FR-6a, 16th category). Corrected stale counts: signal dimensions 65+ -&gt; 100+, pickX() functions 45 -&gt; 47, KB technologies now 243. Two real bugs found and fixed during this work, not just features added — see Section 12.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the Enterprise v2.0 shell — persistent sidebar, 3-column results layout, localStorage-backed analysis history, a refine/ask context-panel drawer, and a full mobile responsive treatment (Section 7.8, FR-35 through FR-41). Documented 8 accessibility/interaction fixes and the completion of the emoji-to-icon migration (FR-42, FR-43). See BRD Section 8.2 for the user-facing feature summary.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1.7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the "Challenge This Pick" widget (FR-44) — the first real instrumentation for BRD Section 7's disagreement-rate metric. New backend Disagreement aggregate (DDD Section 4.5), POST /api/analyses/{analysis_id}/disagreements endpoint, and a per-card frontend form reusing the existing per-category vendor-alternatives data. See BRD Section 8.2 for the user-facing summary.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1.8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Later session: added Harness Readiness (Section 7.9, FR-45 through FR-49) — a fourth, structurally distinct entry mode that self-audits a team's own agent-development process (not a technology-stack recommendation) against a third-party practitioner rubric, via a guided 5-question radio flow. Client-side only, v1-only by design (no Python-side equivalent). First step of a new "help teams build their own harness" product direction, separate from the existing stack-advisor product this PRD otherwise documents. See BRD Section 8.2 for the user-facing summary and docs/harness-engineering/ for the underlying scope and research.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100+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(16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DNS, hybrid connectivity.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16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FR-6a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Hybrid Connectivity category (added later session): recommend a dedicated-link + transit-hub pairing matched to the chosen cloud vendor (AWS Direct Connect+Transit Gateway, Azure ExpressRoute+Virtual WAN, GCP Cloud Interconnect+Network Connectivity Center, Huawei Direct Connect+Enterprise Router) plus VPN-failover and MACsec guidance, when a dedicated on-prem-to-cloud link is detected. Always rendered as the 16th card; content states "not required" or "not applicable" (air-gapped) rather than the card being hidden, matching every other always-shown category.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DNS, hybrid connectivity).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"Shipped" below means both layers: the backend endpoint is built and tested, AND index.html has a real, clickable UI element wired to call it. Earlier revisions of this table only asserted the first layer — for a stretch of this project's history the backend was fully shipped while index.html had zero fetch() calls to it at all. That gap is closed as of the guided-mode + backend-wiring milestone; both are true now.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uncertain. Adjustments are only made when the model can cite a specific reason; every pass is kept, not overwritten, so the reasoning history is comparable across repeated passes.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/api/refine, per-card "✨ Refine with AI" button in index.html, refinement history retained client-side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FR-27a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Follow-up Q&amp;A scoped to a recommendation, independent of whether refine has been used on that card first.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/api/ask, independent "💬 Ask a question" button in index.html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URL, rendered read-only with the input form and AI buttons removed.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/api/analyses/{id}/share, "📎 Share this analysis" button, ?shared=SLUG read-only view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which specific detected signals drove each stack card's recommendation, not just a confidence badge, so the "why" is inspectable per pick rather than only stated as prose.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real LLM token cost (from the Anthropic response) alongside the existing directional cost estimate once a refine/ask call has been made.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backend returns real usage from message.usage; not persisted to any table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interactive node-canvas visualization of the architecture recommendation (pan/zoom canvas, minimap, tier-colored nodes) as an alternate to the 16-section card view. Cross-references Release Plan v1.5.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Opportunity &amp; Leverage Layer: a 12-pattern catalog across all 6 architecture tiers (client/edge/compute/data/ai/ops), attached to Flow View nodes as "New AI Leverage Point" (gap — no AI touchpoint yet) or "AI Optimization Point" (an existing AI touchpoint could be upgraded). Text-to-SQL specifically enforces High complexity and mandatory read-only-replica/PII-tokenization/audit-trail prerequisites when finance/healthcare/compliance/onPrem signals are present, so regulated environments are never advised to expose transactional tables to unconstrained LLMs.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Technology catalog unified into a single source of truth (#stackKbData.technologies, 243 entries) powering citations/ADR export, with a maintainer CLI (scripts/add_tech.py) that validates schema/domain/maturity-ring/duplicates before any entry is added, and a client-side localStorage overlay letting a user add a custom technology without editing the shipped catalog.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+ a Python authoring script, no backend dependency for the app itself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FR-34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Huawei Cloud vendor support: signal detection plus vendor-specific recommendations across cloud provider, API gateway (APIG + ROMA Connect), containers (CCE), DNS, observability (Cloud Eye + LTS), and CI/CD (CodeArts) — the same 6 categories AWS/Azure/GCP already branch on.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(index.html); backend rule_engine.py has the detection signal only, not the pick-logic branches — see Section 12 for why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FR-44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"Challenge This Pick": a per-card widget letting a user name a preferred alternative (pre-populated from the same per-category vendor data the card's own "See N alternatives" disclosure already uses, free-text-only for the categories with no such data) and a required reason. Always captured to localStorage; additionally POSTed to a new backend endpoint, best-effort, only when the current analysis already has a persisted analysis_id (never force-created for this purpose). First real instrumentation for BRD Section 7's disagreement-rate metric.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/api/analyses/{analysis_id}/disagreements, new Disagreement table (DDD Section 4.5)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7.8 Enterprise Shell &amp; Responsive Layout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A presentation-layer restructuring, not a new architectural pattern — no new backend endpoints, no new domain state. Every item below is client-side only (index.html).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FR-35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Persistent sidebar navigation (new analysis, jump-to-current-analysis, export/share, theme toggle), replacing the prior fixed-position theme control and inline per-results-page export controls.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FR-36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Results view renders as a 3-column layout (in-page section navigation, results/flow content, a context drawer for refine/ask) instead of a single flowing column.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"Recent analyses" history list, persisted to localStorage, capped at the 20 most recent entries; re-analyzing identical text moves the existing entry to the top rather than duplicating it; clicking an entry replays the original analysis exactly via the same code path every other entry mode uses.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FR-38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Refine/Ask AI moves into a shared context-panel drawer (one panel, retargeted per card) instead of being inlined into every stack card.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only; mechanism unchanged from FR-27/FR-28's existing backend calls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sidebar collapses to a fixed bottom navigation bar; History and Export/Share open as full-screen overlays reusing the same underlying elements, not a separate mobile-only implementation.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FR-40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refine/ask context panel renders as a full-screen modal instead of a partial sticky overlay.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FR-41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 viewports ≤860px, the Flow View canvas hides the minimap, enlarges toolbar touch targets, and repositions the pan/zoom toolbar to clear the fixed bottom navigation bar.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FR-42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Mode-selection cards and Flow View canvas nodes are keyboard-navigable and screen-reader-labeled; a global Escape key closes any open drawer, modal, or popover; the custom-technology modal dismisses on backdrop click.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FR-43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All remaining emoji-as-iconography (a 45-item glide-panel options list, plus 3 unrelated stray instances) replaced with the existing stroke-icon system.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7.9 Harness Readiness (self-audit mode)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A fourth entry mode, structurally distinct from the other three: it doesn't recommend a technology stack, it scores a team's own agent-development process. Deliberately a guided questionnaire, not free-text signal detection — Appendix B of the source rubric is a 4-point scale per component with concrete, mutually-exclusive level descriptions, which is a multiple-choice UI problem, not a text-mining one (see docs/harness-engineering/HARNESS_READINESS_SCOPE.md for the full rationale). v1-only by design, matching this app's existing zero-marginal-cost invariant — no Python-side equivalent exists or is planned.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FR-45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fourth mode-picker card, "Audit your harness," alongside the existing three (guided wizard / free text / diagram upload).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FR-46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guided 5-question self-audit — one question per harness component (system of record, tools, verification, guardrails, observability), each a 4-option radio (0-3) using the source rubric's level text verbatim — producing a total /15 score and one of 4 maturity bands (harness consumer / real harness exists / production grade / mature).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deterministic scoring, no LLM call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Results screen: total score + band, one card per component showing its score and matching level description, and a fix-priority list capped at 3, limited to components scoring 0 or 1 only (a component that already scores 2-3 is not padded into the list) — and a graceful "no urgent fix" message when nothing qualifies.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FR-48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Fix suggestions name concrete, current tools for verification (Ruff, pytest, ESLint, Vitest, Playwright) but deliberately name no vendor for guardrails or observability — the market research behind this feature found that exact vendor category (Lakera, Protect AI, Guardrails AI) got bought out or archived in 2026, so a named product could be defunct by the time someone reads the recommendation.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FR-49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visible in-product citation of the source rubric (Aishwarya Srinivasan / The Gen Academy's Harness Engineering Build Guide, Appendix B) on the results screen.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9.4 Diagram Export Architecture (Hexagonal / Ports &amp; Adapters)</w:t>
      </w:r>
    </w:p>
    <w:p>
      <w:pPr>
        <w:spacing w:after="160" w:line="276"/>
      </w:pPr>
      <w:r>
        <w:rPr>
          <w:sz w:val="21"/>
          <w:szCs w:val="21"/>
        </w:rPr>
        <w:t xml:space="preserve">Added in a later session, documented in full in docs/walkthrough-hexagonal-refactor.md. Prior to this, buildFlowGraph() (Flow View) and the three exporters (Mermaid, Draw.io, SVG) each independently re-derived their own view of the architecture from the raw recommendation object — Flow View showed 18-20 nodes, the exporters showed a hardcoded 5-8. buildCanonicalArchitectureGraph(ctx, signals) is now the single pure domain core (no browser globals, no file-format strings, no pixel coordinates) that every consumer builds from: layoutFlowGraph(graph) is the presentation adapter that adds x/y/color for Flow View only, and the three exporters serialize the same canonical {nodes, edges} instead of a reduced subset. Mirrors the ports-and-adapters separation already enforced in a sibling project's (Swish_App) HexagonalArchitectureTest.java, adapted to this repo's single-file frameworkless constraint (no Java package tree, no build step) as a static-analysis contract test (backend/tests/test_architecture_contracts.py) plus Node-executed runtime checks instead.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93 passing/xfailed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wiring: guided-input wizard, per-card Refine/Ask buttons actually calling the v2.0 backend, share button, ?shared=SLUG read-only view, why-this-pick signal inspection, refinement-pass history, real LLM cost display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Hexagonal diagram-export refactor (Section 9.4) — fixed Flow View/exporter node-count inconsistency; AI Opportunity &amp; Leverage Layer (FR-32) — fixed a phantom-signal-key bug that had silently disabled the compliance guardrail it shipped with; technology catalog unified to one source of truth with maintainer CLI + custom overlay (FR-33); Huawei Cloud vendor support (FR-34); Hybrid Connectivity category (FR-6a) — fixed a pre-existing onPrem false-positive this work surfaced (see Section 12)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v2.0 shell (FR-35 through FR-41) — persistent sidebar, 3-column results layout, localStorage-backed analysis history, refine/ask context-panel drawer, full mobile responsive treatment (bottom nav, full-screen overlays, Flow View mobile tuning); 8 accessibility/interaction fixes and completion of the emoji-to-icon migration (FR-42, FR-43)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"Challenge This Pick" widget (FR-44) — first real instrumentation for BRD Section 7's disagreement-rate metric. New Disagreement backend aggregate + endpoint, per-card feedback form reusing existing vendor-alternatives data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Harness Readiness (FR-45 through FR-49, Section 7.9) — a fourth entry mode self-auditing a team's own agent-development process against a third-party rubric via a guided 5-question flow, producing a /15 score, maturity band, and fix-priority list. Client-side only, no vendor names for guardrails/observability by deliberate market-research-driven policy. First step of a new harness-engineering product direction — see docs/harness-engineering/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 (later session, in two parts — the first was logged here as fully resolved and was not). Part 1 ported the two missing pick FUNCTIONS (pickHybridConnectivity, pickIntegrationGuidance) and marked this item resolved; that was premature, because the item's actual subject was the vendor-specific pick-logic BRANCHES, and the Huawei branches inside pick_cloud/pick_gateway/pick_containers/pick_observability/pick_cicd/pick_dns were still absent — index.html carried 9 huaweiShop references to rule_engine.py's 1, so a Huawei customer saw Huawei Cloud in the browser and AWS from /api/refine, /api/ask and the MCP tool. Part 2 ported those branches, plus the OpenShift branch, the container/CI team-skill notes, and the whole team-skill RDBMS selection in pick_database (an existing-MongoDB requirement got MongoDB alone on screen and "PostgreSQL + MongoDB" from the backend). The structural fix is backend/tests/test_engine_differential.py: it runs a committed corpus through BOTH engines and diffs signals, picks, confidence and the shared keyword tables, so within-function divergence — which the pickX()-set gate in test_engine_parity.py cannot see by construction — fails CI instead of being rediscovered and re-logged here.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RESOLVED: Python's strong_on_prem keyword list was missing "own server(s)"/"in-house server(s)"/"in house server(s)", which index.html's detectSignals() already had. The cost was larger than the gap looked: "we run our own servers in-house and cannot move to cloud" was on-prem in the browser and not on-prem in the backend, cascading into nine wrong picks including recommending AWS to an air-gapped customer. All six keywords ported, and the differential test above now covers this exact requirement so a keyword-list divergence cannot be flagged-and-forgotten again.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Target segment commitment — committed direction is Segment 2 (Tech Leads &amp; Staff Architects at scaling startups/SMBs) as the primary ICP, with Segment 1 (solo founders) as the frictionless on-ramp. This is a committed direction, not yet confirmed by usage — the existing Segment Concentration metric in Section 10 / BRD Section 7 is specifically what will validate or overturn this hypothesis.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Telemetry &amp; privacy policy (NFR-1) — never transmit free-text inputs, diagram payloads, or entity names. If telemetry is ever built, it must be strictly opt-in and restricted to anonymous categorical event counts (e.g. export format clicked, diagram format uploaded). No receiving backend endpoint or telemetry infrastructure exists today, and this policy decision does not constitute a commitment to build one.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Rule-engine feedback mechanism — adopt a low-overhead "Disagree with pick → Open GitHub Issue / Copy Markdown" workflow that formats the active signal, rule ID, and pick rationale. Known limitation: requiring a GitHub issue is real friction for a mid-review staff engineer, so conversion is expected to be low — a clean zero-backend starting point, not a claim of high adoption.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Flow View formalization — formalized as FR-31a in Section 7.7, cross-referenced against the existing v1.5 Release Plan entry rather than treated as newly discovered.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2026-08-31T05:47:03.011Z</dcterms:created>
  <dcterms:modified xsi:type="dcterms:W3CDTF">2026-08-31T05:47:03.011Z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