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5B6B7C"/>
          <w:spacing w:val="20"/>
          <w:sz w:val="22"/>
          <w:szCs w:val="22"/>
        </w:rPr>
        <w:t xml:space="preserve">AI STACK ADVISOR</w:t>
      </w:r>
    </w:p>
    <w:p>
      <w:pPr>
        <w:spacing w:after="200"/>
        <w:jc w:val="center"/>
      </w:pPr>
      <w:r>
        <w:rPr>
          <w:b/>
          <w:bCs/>
          <w:color w:val="1F3B57"/>
          <w:sz w:val="56"/>
          <w:szCs w:val="56"/>
        </w:rPr>
        <w:t xml:space="preserve">Product Requirements Document</w:t>
      </w:r>
    </w:p>
    <w:p>
      <w:pPr>
        <w:spacing w:after="800"/>
        <w:jc w:val="center"/>
      </w:pPr>
      <w:r>
        <w:rPr>
          <w:i/>
          <w:iCs/>
          <w:color w:val="2E5C8A"/>
          <w:sz w:val="26"/>
          <w:szCs w:val="26"/>
        </w:rPr>
        <w:t xml:space="preserve">Functional &amp; technical specification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Document Version:  </w:t>
      </w:r>
      <w:r>
        <w:rPr>
          <w:color w:val="333333"/>
          <w:sz w:val="20"/>
          <w:szCs w:val="20"/>
        </w:rPr>
        <w:t xml:space="preserve">1.3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Status:  </w:t>
      </w:r>
      <w:r>
        <w:rPr>
          <w:color w:val="333333"/>
          <w:sz w:val="20"/>
          <w:szCs w:val="20"/>
        </w:rPr>
        <w:t xml:space="preserve">v1 and v2 shipped, frontend actually wired to the backend — see Section 7.7, Section 9.2, and Release Plan (Section 11)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Prepared by:  </w:t>
      </w:r>
      <w:r>
        <w:rPr>
          <w:color w:val="333333"/>
          <w:sz w:val="20"/>
          <w:szCs w:val="20"/>
        </w:rPr>
        <w:t xml:space="preserve">Muneeb, with Claude (Cowork)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Date:  </w:t>
      </w:r>
      <w:r>
        <w:rPr>
          <w:color w:val="333333"/>
          <w:sz w:val="20"/>
          <w:szCs w:val="20"/>
        </w:rPr>
        <w:t xml:space="preserve">August 14, 2026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Companion document:  </w:t>
      </w:r>
      <w:r>
        <w:rPr>
          <w:color w:val="333333"/>
          <w:sz w:val="20"/>
          <w:szCs w:val="20"/>
        </w:rPr>
        <w:t xml:space="preserve">Business Requirements Document (BRD)</w:t>
      </w:r>
    </w:p>
    <w:p>
      <w:r>
        <w:br w:type="page"/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1. Document Control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00"/>
      </w:tblGrid>
      <w:tr>
        <w:trPr>
          <w:tblHeader/>
        </w:trPr>
        <w:tc>
          <w:tcPr>
            <w:tcW w:type="dxa" w:w="1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1.0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Initial PRD, written to document v1 (shipped) and v2 (designed, pending backend access) — this PRD was written after v1 was built and validated, not before, and reflects the actual implementation rather than a forward-looking spec alone.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1.1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Updated after a two-pass rule-engine expansion (separate session, frontend-only): signal count grew from ~35 to 65+, pickX() functions from ~30 to 45, spanning 8 new use-case domains, a directional cost estimator, a semantic-routing/guardrail-service dimension, and governance/security dimensions. Also new: a 12-file RAG knowledge-base corpus (docs/use-case-knowledge-base/) and a 21-case retrieval evaluation set. Section counts (16) and the core client-side-only architecture (NFR-5) are unchanged.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1.2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 backend built and tested in a later session (FastAPI + Postgres + Alembic; share links, /api/refine, /api/ask, and the MCP tool wrapper — FR-27/28/29 all shipped, /api/refine and /api/ask grounded in the 1.1 RAG corpus). Updated Section 7.7, 9.2, and the Release Plan (Section 11) to reflect that; no functional requirement content changed, only status.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1.3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Found via a documentation-vs-code validation pass: FR-27–29 marked "Shipped" based on the backend alone, without ever stating whether index.html actually called those endpoints — for a real stretch of this project it didn't (confirmed by grep: zero fetch() calls). Rewrote Section 7.7 to state both layers explicitly, added FR-27a (independent ask), FR-30 (why-this-pick signal inspection), and FR-31 (real cost display) — all shipped but previously undocumented. Corrected the Release Plan's stale "44 passing tests" to the actual 93 (verified via a live pytest run, not the prior static count).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2. Product Overview</w:t>
      </w:r>
    </w:p>
    <w:p>
      <w:pPr>
        <w:spacing w:after="160" w:line="276"/>
      </w:pPr>
      <w:r>
        <w:rPr>
          <w:sz w:val="21"/>
          <w:szCs w:val="21"/>
        </w:rPr>
        <w:t xml:space="preserve">AI Stack Advisor is a single-page web application. A user pastes a free-text description of their product or business requirement; the application detects signals in that text across 65+ dimensions (industry, scale, compliance, latency, data type, team size, existing vendor commitments, and more) and renders a full architecture recommendation organized into 16 navigable sections, covering both traditional infrastructure decisions and AI-native decisions.</w:t>
      </w:r>
    </w:p>
    <w:p>
      <w:pPr>
        <w:spacing w:after="160" w:line="276"/>
      </w:pPr>
      <w:r>
        <w:rPr>
          <w:sz w:val="21"/>
          <w:szCs w:val="21"/>
        </w:rPr>
        <w:t xml:space="preserve">v1 runs entirely client-side: a JavaScript rule engine embedded in a single HTML file, with no server, no API calls, and no data leaving the browser. v2 adds an optional backend for LLM-assisted refinement of ambiguous cases (grounded in a RAG knowledge-base corpus), persistence via share links, and an MCP tool wrapper for use from Claude Desktop/Code — all shipped.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3. Problem Statement</w:t>
      </w:r>
    </w:p>
    <w:p>
      <w:pPr>
        <w:spacing w:after="160" w:line="276"/>
      </w:pPr>
      <w:r>
        <w:rPr>
          <w:sz w:val="21"/>
          <w:szCs w:val="21"/>
        </w:rPr>
        <w:t xml:space="preserve">See BRD Section 3 for the full business framing. In product terms: a user with a business requirement in their head has no fast way to translate it into a concrete, defensible technology and AI architecture without either (a) already having architect-level expertise across infrastructure, application design, and AI systems simultaneously, or (b) spending days researching and cross-referencing trade-offs manually.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4. Goals &amp; Non-Goals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4.1 Goals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Zero-friction input: a single free-text field, no wizard, no required structured fields.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Complete-in-one-pass output: every major architecture decision category answered in a single analysis, not a multi-step flow.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Transparent reasoning: every recommendation states why, and every head-to-head trade-off states when to switch.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Honest uncertainty: confidence badges distinguish signal-driven recommendations from defaults.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AI-native depth: LLM sizing, RAG taxonomy, hosting, guardrails, and MCP are first-class sections, not an afterthought bolted onto a generic web-stack tool.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4.2 Non-Goals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an infrastructure provisioning tool — never executes changes, only recommends.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a benchmarked "ground truth" tool — v1 has not been validated against expert architect judgment at scale, only against internally crafted test scenarios (see Section 12).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(yet) a multi-user collaborative product — no accounts, no shared workspaces in v1 or v2.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5. Target Users &amp; Personas</w:t>
      </w:r>
    </w:p>
    <w:p>
      <w:pPr>
        <w:spacing w:after="160" w:line="276"/>
      </w:pPr>
      <w:r>
        <w:rPr>
          <w:sz w:val="21"/>
          <w:szCs w:val="21"/>
        </w:rPr>
        <w:t xml:space="preserve">The product explicitly frames its output as synthesizing six professional perspectives; each stack recommendation is tagged with the role that would typically own that decision. These are not separate personas of the tool's users — they describe whose judgment the tool is trying to approximate for a user who may not have access to all six.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Perspective</w:t>
            </w:r>
          </w:p>
        </w:tc>
        <w:tc>
          <w:tcPr>
            <w:tcW w:type="dxa" w:w="6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Typically owns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Enterprise Architect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Cloud provider, IAM, service mesh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Solution Architect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API gateway/edge, architecture style, compute model, DNS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Application Architect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Languages, messaging, database, frontend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Architect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LLM selection, model orchestration, RAG, guardrails, MCP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SDE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Caching, containers, CI/CD, concurrency/throughput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TPM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Observability ownership (shared with SDE), governance (KRA/KPI/SLA/reliability)</w:t>
            </w:r>
          </w:p>
        </w:tc>
      </w:tr>
    </w:tbl>
    <w:p>
      <w:pPr>
        <w:spacing w:after="160" w:line="276"/>
      </w:pPr>
      <w:r>
        <w:rPr>
          <w:sz w:val="21"/>
          <w:szCs w:val="21"/>
        </w:rPr>
        <w:t xml:space="preserve">The actual end-user segments (who opens the tool) are addressed in BRD Section 5 and remain an open commitment — non-technical founder, developer/technical founder, and enterprise architect/TPM are the three candidate segments, each requiring a different depth/hand-holding balance this PRD does not yet resolve.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6. User Stories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0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 a...</w:t>
            </w:r>
          </w:p>
        </w:tc>
        <w:tc>
          <w:tcPr>
            <w:tcW w:type="dxa" w:w="3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 want...</w:t>
            </w:r>
          </w:p>
        </w:tc>
        <w:tc>
          <w:tcPr>
            <w:tcW w:type="dxa" w:w="3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 that...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solo founder scoping an MVP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a stack recommendation from one paragraph of description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don't need to hire an architect before writing my first line of code.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developer evaluating Kafka vs. a managed queue</w:t>
            </w:r>
          </w:p>
        </w:tc>
        <w:tc>
          <w:tcPr>
            <w:tcW w:type="dxa" w:w="3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the tool to tell me not just what to pick but exactly when I'd need to switch</w:t>
            </w:r>
          </w:p>
        </w:tc>
        <w:tc>
          <w:tcPr>
            <w:tcW w:type="dxa" w:w="3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can defer the decision confidently instead of over-engineering on day one.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an AI product builder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guidance on LLM size, RAG pattern, and guardrail placement specific to my use case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don't have to separately research 14 RAG variants and cross-reference them against my compliance needs.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an engineer in a regulated/air-gapped environment</w:t>
            </w:r>
          </w:p>
        </w:tc>
        <w:tc>
          <w:tcPr>
            <w:tcW w:type="dxa" w:w="3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the tool to recognize that constraint and never recommend a public-cloud service</w:t>
            </w:r>
          </w:p>
        </w:tc>
        <w:tc>
          <w:tcPr>
            <w:tcW w:type="dxa" w:w="3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can trust the output enough to act on it without re-checking every line.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TPM setting up a new service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starter KRA/KPI/SLA targets tailored to my project's risk profile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have a first draft to negotiate with stakeholders instead of starting from a blank page.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7. Functional Requirements</w:t>
      </w:r>
    </w:p>
    <w:p>
      <w:pPr>
        <w:spacing w:after="160" w:line="276"/>
      </w:pPr>
      <w:r>
        <w:rPr>
          <w:sz w:val="21"/>
          <w:szCs w:val="21"/>
        </w:rPr>
        <w:t xml:space="preserve">Grouped by module. Each row reflects what is actually implemented in v1 unless marked otherwise.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7.1 Input &amp; Signal Detection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Accept free-text business/product requirement input via a single textarea; no required structured fields.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five one-click example scenarios spanning fintech, healthcare, e-commerce, enterprise, and early-stage MVP profiles.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Detect 65+ signal dimensions from the input text (industry, scale, compliance, latency, data type, team size, cloud vendor mentions, language mentions, and more) via keyword and pattern matching.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Strip short negated clauses ("no compliance requirements", "don't need X") before signal matching, so stated non-requirements are not read as requirements.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Detect on-premises/air-gapped/no-public-cloud requirements from raw (non-negation-stripped) text, since these are phrased using negation words that are themselves the requirement.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7.2 Core Technical Stack (15 categories)</w:t>
      </w:r>
    </w:p>
    <w:p>
      <w:pPr>
        <w:spacing w:after="160" w:line="276"/>
      </w:pPr>
      <w:r>
        <w:rPr>
          <w:sz w:val="21"/>
          <w:szCs w:val="21"/>
        </w:rPr>
        <w:t xml:space="preserve">Cloud provider, API gateway/edge, IAM, backend language(s), architecture style, compute model, messaging/streaming, service mesh, caching, primary database(s), containers/orchestration, observability, frontend, CI/CD &amp; deployment, DNS.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FR-6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Each of the 15 stack categories must return a recommendation, a plain-language rationale, a confidence rating (High/Medium/Low), and the architect role that typically owns that decision.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FR-7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On-premises/air-gapped detection (FR-5) must override the default recommendation in every category where a public-cloud service would otherwise be suggested (cloud, gateway, compute, containers, observability, CI/CD, DNS).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FR-8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Analytics/ETL-heavy workloads without a transactional, chat, or RAG signal must be routed to a data-warehouse recommendation (BigQuery/Snowflake/Redshift) rather than a general-purpose OLTP database.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FR-9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Conflicting signals (e.g. a small team combined with high-scale/enterprise requirements) must resolve to a stated middle-ground recommendation with the conflict acknowledged in the rationale, not a recommendation whose own justification contradicts part of the input.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7.3 Key Trade-off Decisions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FR-10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explicit head-to-head recommendations for: single-cloud vs. multi-cloud, Terraform vs. Pulumi/CDK/native IaC, Kafka vs. Pub/Sub vs. managed queue, and Kubernetes vs. serverless.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FR-11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Each trade-off must state the recommendation, why, and an explicit "switch when" condition describing the trigger for reconsidering.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FR-12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On-premises detection must override the cloud-strategy trade-off entirely, replacing the single-vs-multi-cloud question with a public-cloud-vs-on-premises framing.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7.4 AI / LLM Strategy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single-model vs. multi-model orchestration strategy, with a standing task-to-model mapping table (reasoning/design, code generation, classification/routing, RAG synthesis, agent orchestration).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local vs. cloud model hosting based on budget and security/compliance signals, including a stated cost-crossover heuristic.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a VRAM sizing reference table (4B/12B/30B/70B+ tiers, fp16 and int4-quantized footprints, typical GPU, notes) with the tier suited to the user's inputs highlighted.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FR-16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interface topology (hybrid / distributed / mesh, each defined in-product) separately for the LLM serving layer and the RAG/retrieval layer.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FR-17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MCP vs. direct API integration, with the reuse/multi-client condition that should trigger adopting MCP.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FR-18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a RAG architecture from a 14-variant taxonomy, or explicitly state that RAG is not required, including the specific case where retrieval should target structured/SQL data instead of a vector store.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FR-19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State explicitly where the vector database sits in the pipeline (or that none is required), and recommend a specific vector store choice based on existing database investment and scale.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FR-20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guardrails as a 5-stage pipeline (input, retrieval/tool-call, in-flight generation, output, post-hoc evals/monitoring) — never input/output only.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7.5 Cost, Throughput &amp; Governance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cost/resource optimization recommendations (compute right-sizing, reserved vs. spot capacity, storage tiering, LLM cost routing, caching, FinOps tagging).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concurrency/throughput recommendations (async I/O, connection pooling, autoscaling strategy, read replicas, CDN, backpressure, response streaming, circuit breakers).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governance targets across four categories — KRA, KPI, SLA, and reliability/continuous-improvement (MTTD/MTTR, postmortem cadence, error-budget policy) — tuned by the same input signals as the rest of the output, with an explicit disclaimer that these are starting-point defaults, not commitments.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7.6 Navigation &amp; Presentation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FR-24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a sticky navigation bar with jump-links to all 16 result sections.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FR-25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Render each result section as an independently collapsible element, defaulting to open, with a single Collapse All / Expand All control.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FR-26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Display all detected input signals as a visible chip list before the recommendation sections, so the user can see what drove the output.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7.7 v2 — Shipped</w:t>
      </w:r>
    </w:p>
    <w:p>
      <w:pPr>
        <w:spacing w:after="160" w:line="276"/>
      </w:pPr>
      <w:r>
        <w:rPr>
          <w:i/>
          <w:iCs/>
          <w:color w:val="5B6B7C"/>
          <w:sz w:val="19"/>
          <w:szCs w:val="19"/>
        </w:rPr>
        <w:t xml:space="preserve">"Shipped" below means both layers: the backend endpoint is built and tested, AND index.html has a real, clickable UI element wired to call it. Earlier revisions of this table only asserted the first layer — for a stretch of this project's history the backend was fully shipped while index.html had zero fetch() calls to it at all. That gap is closed as of the guided-mode + backend-wiring milestone; both are true now.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600"/>
        <w:gridCol w:w="18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FR-27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 optional "Refine with AI" pass that sends the free-text input and the v1 rule-engine output to an LLM (user's own Anthropic API key) for cases where the rules are uncertain. Adjustments are only made when the model can cite a specific reason; every pass is kept, not overwritten, so the reasoning history is comparable across repeated passes.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/api/refine, per-card "✨ Refine with AI" button in index.html, refinement history retained client-side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FR-27a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Follow-up Q&amp;A scoped to a recommendation, independent of whether refine has been used on that card first.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/api/ask, independent "💬 Ask a question" button in index.html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FR-28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Share links: persist a completed analysis to a shareable URL, rendered read-only with the input form and AI buttons removed.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/api/analyses/{id}/share, "📎 Share this analysis" button, ?shared=SLUG read-only view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FR-29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MCP tool wrapper (recommend_stack(...)) callable from Claude Desktop/Code directly.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FR-30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Show which specific detected signals drove each stack card's recommendation, not just a confidence badge, so the "why" is inspectable per pick rather than only stated as prose.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FR-31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Show real LLM token cost (from the Anthropic response) alongside the existing directional cost estimate once a refine/ask call has been made.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backend returns real usage from message.usage; not persisted to any table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8. Non-Functional Requirements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 must run entirely client-side with zero external network calls, so no user input ever leaves the browser.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Analysis must render synchronously with no perceptible delay (rule engine, not an LLM call) — this is a deliberate differentiator from LLM-generation-based competitors.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page must remain usable at 16+ result sections via the navigation/collapse features in FR-24/FR-25 rather than requiring a redesign as scope grows.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tool must never claim higher certainty than its signal detection supports — every recommendation carries a confidence rating (NFR extension of FR-6), and defaults are visually distinct (Low confidence) from signal-driven picks (High/Medium).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v2's optional backend features must degrade gracefully — the client-side experience (v1) must remain fully functional if the backend is unavailable or the user has no API key.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9. System Architecture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9.1 v1 — As Built</w:t>
      </w:r>
    </w:p>
    <w:p>
      <w:pPr>
        <w:spacing w:after="160" w:line="276"/>
      </w:pPr>
      <w:r>
        <w:rPr>
          <w:sz w:val="21"/>
          <w:szCs w:val="21"/>
        </w:rPr>
        <w:t xml:space="preserve">A single self-contained HTML file. A JavaScript rule engine (detectSignals() plus 45 pickX() functions, one per recommendation category) runs synchronously in the browser on form submit. No build step, no framework, no dependencies — chosen deliberately for a tool at this stage of validation, where operational simplicity matters more than the marginal benefit a framework would add (see BRD Section 3.3 differentiation on "zero cost to run").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9.2 v2 — Shipped</w:t>
      </w:r>
    </w:p>
    <w:p>
      <w:pPr>
        <w:spacing w:after="160" w:line="276"/>
      </w:pPr>
      <w:r>
        <w:rPr>
          <w:sz w:val="21"/>
          <w:szCs w:val="21"/>
        </w:rPr>
        <w:t xml:space="preserve">Documented in full in the companion v2 Design Document. A FastAPI backend adds two endpoints — POST /api/refine (LLM-assisted reconciliation of ambiguous rule-engine output, only overriding a v1 pick when it can cite a specific reason from the input text) and POST /api/ask (grounded follow-up Q&amp;A scoped to the current recommendation). Postgres stores shared analyses. An MCP server wraps the same logic as a callable recommend_stack(...) tool. All three require the user's own Anthropic API key, passed per-request and never stored server-side. All four pieces (share links, /api/refine, /api/ask, MCP tool) are built and tested — see backend/README.md for the running system's test suite and quickstart.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9.3 Data Flow (v1)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User enters free text and clicks Analyze.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detectSignals(text) returns a signals object (65+ boolean/derived fields).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Each pickX(signals) function returns a recommendation, rationale, and confidence rating for its category.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The results are assembled into 16 sections, rendered into the DOM inside a sticky-nav/collapsible-section shell.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Nothing is persisted unless the user explicitly saves/shares it via v2's share-link feature; a page refresh otherwise clears all state.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10. Success Metrics</w:t>
      </w:r>
    </w:p>
    <w:p>
      <w:pPr>
        <w:spacing w:after="160" w:line="276"/>
      </w:pPr>
      <w:r>
        <w:rPr>
          <w:sz w:val="21"/>
          <w:szCs w:val="21"/>
        </w:rPr>
        <w:t xml:space="preserve">See BRD Section 7 for the full metric definitions (completion rate, re-use rate, disagreement rate, segment concentration, cost per active user). No instrumentation exists yet in v1 — this is listed as an open item in Section 13.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11. Release Plan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000"/>
        <w:gridCol w:w="1800"/>
      </w:tblGrid>
      <w:tr>
        <w:trPr>
          <w:tblHeader/>
        </w:trPr>
        <w:tc>
          <w:tcPr>
            <w:tcW w:type="dxa" w:w="1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Release</w:t>
            </w:r>
          </w:p>
        </w:tc>
        <w:tc>
          <w:tcPr>
            <w:tcW w:type="dxa" w:w="6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Contents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v1.0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Core stack (15 categories) + AI/LLM recommendation + RAG + guardrails + MCP servers needed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v1.1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Trade-off decisions, cost/throughput, governance sections; persona tagging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v1.2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serving/integration layer: orchestration, hosting/VRAM, topology, MCP-vs-API, guardrail pipeline, vector DB placement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v1.3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Sticky nav + collapsible sections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v1.4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Validation/QA pass — negation handling, on-prem support, warehouse detection, conflict-resolution fixes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v1.5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Flow View: node-canvas visualization of the recommendation (n8n/Voiceflow/VectorShift-style pan/zoom/drag graph, alternate to the card view); recursive logic audit — fixed several false-positive signal matches and a same-report contradiction between the Compute Model card and the Kubernetes-vs-Serverless trade-off card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v2.0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Share links, LLM refinement endpoint (/api/refine), grounded follow-up Q&amp;A (/api/ask), MCP tool wrapper (recommend_stack) — FastAPI + Postgres + Alembic backend, 93 passing/xfailed tests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v2.1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Frontend wiring: guided-input wizard, per-card Refine/Ask buttons actually calling the v2.0 backend, share button, ?shared=SLUG read-only view, why-this-pick signal inspection, refinement-pass history, real LLM cost display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12. Known Limitations</w:t>
      </w:r>
    </w:p>
    <w:p>
      <w:pPr>
        <w:spacing w:after="160" w:line="276"/>
      </w:pPr>
      <w:r>
        <w:rPr>
          <w:sz w:val="21"/>
          <w:szCs w:val="21"/>
        </w:rPr>
        <w:t xml:space="preserve">From the Validation Report and general assessment — listed explicitly so they are tracked, not discovered later: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Keyword/pattern matching is inherently approximate; the negation-stripping fix (FR-4) reduces but does not eliminate false-positive signal detection on unusual phrasing.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 benchmark exists against real expert-architect judgment — validation to date is internal scenario testing (35+ crafted scenarios across the original validation pass and the two-round expansion pass), not comparison against how senior architects would actually decide the same inputs, and not real end users.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The rule engine encodes a snapshot of current technology/model landscape knowledge and will drift out of date as new models, tools, and best practices emerge, with no automated update mechanism.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Confidence ratings reflect how much matching signal was detected, not an externally validated probability of correctness — a "High confidence" pick is high-confidence in the sense that strong signal supports it, not that it has been checked against ground truth.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The docs/use-case-knowledge-base/ corpus is written for RAG retrieval but has only been tested against a local TF-IDF prototype (lexical similarity), not the real embedding-based retrieval /api/refine/ask now use in production — 18/21 eval cases passed against that prototype, with one concrete finding (keyword-dense "Signals/triggers" chunks out-ranking substantive content chunks) already fed back into the ingestion guide. See docs/use-case-knowledge-base/RETRIEVAL-EVAL-SET.md.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13. Open Questions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Which of the three target segments (Section 5 / BRD Section 5) should the product formally commit to, and how much should the depth/hand-holding balance change per segment?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(v1.1): a directional monthly cost estimator was added — compute/database/LLM-API bands by scale tier, with LLM cost broken out by model tier specifically. Deliberately a range, not a point estimate, and explicitly caveated as a planning figure, not a quote, since a client-side tool has no live pricing API. See docs/use-case-knowledge-base/09-cost-estimation-methodology.md for full sourcing.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What instrumentation is needed to capture the success metrics in Section 10 without violating NFR-1 (no data leaves the browser) — this is a real tension between measurement and the current privacy posture that needs an explicit decision.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Once real users are exposed to the tool (BRD BR-7), what is the process for feeding disagreement/feedback back into rule-engine updates?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Should the new Flow View (node-canvas visualization of the recommendation, added after this PRD was first drafted) be formalized as its own FR item in the next revision?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7C"/>
        <w:sz w:val="16"/>
        <w:szCs w:val="16"/>
      </w:rPr>
      <w:t xml:space="preserve">Page </w:t>
    </w:r>
    <w:r>
      <w:rPr>
        <w:color w:val="5B6B7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B7C"/>
        <w:sz w:val="16"/>
        <w:szCs w:val="16"/>
      </w:rPr>
      <w:t xml:space="preserve"> of </w:t>
    </w:r>
    <w:r>
      <w:rPr>
        <w:color w:val="5B6B7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tabs>
        <w:tab w:val="right" w:pos="9648"/>
      </w:tabs>
    </w:pPr>
    <w:r>
      <w:rPr>
        <w:color w:val="5B6B7C"/>
        <w:sz w:val="16"/>
        <w:szCs w:val="16"/>
      </w:rPr>
      <w:t xml:space="preserve">Product Requirements Document</w:t>
    </w:r>
    <w:r>
      <w:rPr>
        <w:color w:val="5B6B7C"/>
        <w:sz w:val="16"/>
        <w:szCs w:val="16"/>
      </w:rPr>
      <w:t xml:space="preserve">	AI Stack Advisor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2026-08-14T14:34:05.035Z</dcterms:created>
  <dcterms:modified xsi:type="dcterms:W3CDTF">2026-08-14T14:34:05.035Z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