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1.9</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the Enterprise v2.0 shell in Section 8.2: a persistent sidebar replacing the old fixed-position theme toggle and per-page export controls, a 3-column results layout with a refine/ask drawer, a localStorage-backed analysis history list, and a full mobile responsive treatment (bottom navigation, full-screen overlays for history/export, a re-tuned Flow View canvas). Also documented 8 accessibility/interaction fixes (keyboard navigation, ARIA labeling, focus handling) and the removal of the last remaining emoji-as-iconography instances in favor of stroke icons. All client-side-only, within the existing BR-5 (zero marginal cost) constraint — no BR status changes.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the "Challenge This Pick" widget in Section 8.2: a per-card affordance letting a user state a preferred alternative and why, captured to localStorage always and synced to a new backend Disagreement record when an Analysis already exists server-side. This is the first real instrumentation for BRD Section 7's "disagreement rate" success metric, which had zero implementation anywhere before this. No BR status changes — this is new instrumentation, not a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Harness Readiness in Section 8.2 — a fourth entry mode, distinct from the other three: instead of recommending a technology stack, it scores a team's own agent-development practices (system of record, tools, verification, guardrails, observability) via a guided 5-question self-audit, grounded in a third-party practitioner rubric (cited in-product), and outputs a score, band, and fix-priority list. Deliberately names no vendor for guardrails/observability, per market research finding that vendor category consolidated into security-platform acquisitions in 2026. Client-side only, no marginal cost, no new BR — this is the first exploratory step into a new "help teams build their own harness" direction rather than a change to the existing stack-recommendation product.</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Two additions to Section 8.2. (1) Harness Readiness evidence upload — an optional per-question file attachment that checks a real file (AGENTS.md, a CI config, a permissions file, a failure log) against the user's own self-reported score and flags a mismatch, without ever overriding their answer. This closes the one real weakness of a pure self-audit (nothing stops a team scoring themselves 3 on everything) while staying inside the existing client-side-only constraint — the browser reads one user-picked file, nothing is transmitted. (2) LLM Observability as a new recommendation category (Langfuse / Braintrust): the product recommended AI stacks but had nothing to say about tracing or evaluating the LLM calls it was recommending — general infrastructure observability was already covered, LLM-specific observability was not. Both client-side only, within the existing BR-5 (zero marginal cost) constraint — no BR status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in Section 8.2 the largest change to how this product is read since v1. An interface audit — benchmarked against Lighthouse and the AWS Well-Architected Tool, the two products whose shape most resembles this one — found the report was showing everything at once and leading with a restatement of the user's own input rather than the recommendation. The results view now leads with the answer, ranks the handful of picks genuinely worth a second look, and keeps everything else one click away; the architecture canvas became the default view once it was made legible on a phone. Also documented: Harness Readiness gained score history and the first feedback path out of that feature area, and four deployment-configuration gaps were closed so the product can be hosted without source edits. All client-side except the feedback endpoint and deployment config — no BR status changes, and no change to what the product recommends.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Closed the remaining interface-audit items in Section 8.2: a command palette and keyboard shortcuts (the audit's weakest area by a wide margin), a pass removing redundant nested borders, and a distinct visual treatment for the landing page. One audit item was closed by investigation rather than work — the "no empty states" finding turned out to be an artefact of how it was measured, and every empty case was already handled, so nothing was built. All client-side, no BR status changes, and no change to what the product recommends.</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ListParagraph"/>
        <w:numPr>
          <w:ilvl w:val="0"/>
          <w:numId w:val="2"/>
        </w:numPr>
        <w:spacing w:after="90" w:line="264"/>
      </w:pPr>
      <w:r>
        <w:rPr>
          <w:b/>
          <w:bCs/>
          <w:sz w:val="21"/>
          <w:szCs w:val="21"/>
        </w:rPr>
        <w:t xml:space="preserve">Enterprise shell — </w:t>
      </w:r>
      <w:r>
        <w:rPr>
          <w:sz w:val="21"/>
          <w:szCs w:val="21"/>
        </w:rPr>
        <w:t xml:space="preserve">a persistent sidebar (New Analysis, jump-to-current-analysis, Export/Share, a localStorage-backed "Recent" analysis history list, theme toggle) replacing the previous fixed-position theme button and inline per-page export controls; results render in a 3-column layout (in-page navigation, results/flow content, a refine/ask drawer) instead of a single flowing column.</w:t>
      </w:r>
    </w:p>
    <w:p>
      <w:pPr>
        <w:pStyle w:val="ListParagraph"/>
        <w:numPr>
          <w:ilvl w:val="0"/>
          <w:numId w:val="2"/>
        </w:numPr>
        <w:spacing w:after="90" w:line="264"/>
      </w:pPr>
      <w:r>
        <w:rPr>
          <w:b/>
          <w:bCs/>
          <w:sz w:val="21"/>
          <w:szCs w:val="21"/>
        </w:rPr>
        <w:t xml:space="preserve">Mobile responsive collapse — </w:t>
      </w:r>
      <w:r>
        <w:rPr>
          <w:sz w:val="21"/>
          <w:szCs w:val="21"/>
        </w:rPr>
        <w:t xml:space="preserve">the sidebar becomes a bottom navigation bar on narrow viewports, with History and Export/Share opening as full-screen overlays (the same underlying elements the desktop sidebar uses, not a duplicated mobile-only implementation); the refine/ask drawer becomes a full-screen modal instead of a partial sticky overlay; the Flow View canvas gets a dedicated mobile treatment (minimap hidden, larger touch targets, toolbar repositioned to clear the fixed bottom nav).</w:t>
      </w:r>
    </w:p>
    <w:p>
      <w:pPr>
        <w:pStyle w:val="ListParagraph"/>
        <w:numPr>
          <w:ilvl w:val="0"/>
          <w:numId w:val="2"/>
        </w:numPr>
        <w:spacing w:after="90" w:line="264"/>
      </w:pPr>
      <w:r>
        <w:rPr>
          <w:b/>
          <w:bCs/>
          <w:sz w:val="21"/>
          <w:szCs w:val="21"/>
        </w:rPr>
        <w:t xml:space="preserve">Accessibility fixes — </w:t>
      </w:r>
      <w:r>
        <w:rPr>
          <w:sz w:val="21"/>
          <w:szCs w:val="21"/>
        </w:rPr>
        <w:t xml:space="preserve">keyboard navigation and ARIA labeling added to the mode-selection cards, the Flow View canvas nodes, and several icon-only controls; global Escape-key handling extended to close every open drawer/modal/popover consistently, not just the export menu; a modal backdrop-click-to-dismiss added where it was previously missing.</w:t>
      </w:r>
    </w:p>
    <w:p>
      <w:pPr>
        <w:pStyle w:val="ListParagraph"/>
        <w:numPr>
          <w:ilvl w:val="0"/>
          <w:numId w:val="2"/>
        </w:numPr>
        <w:spacing w:after="90" w:line="264"/>
      </w:pPr>
      <w:r>
        <w:rPr>
          <w:b/>
          <w:bCs/>
          <w:sz w:val="21"/>
          <w:szCs w:val="21"/>
        </w:rPr>
        <w:t xml:space="preserve">Iconography cleanup — </w:t>
      </w:r>
      <w:r>
        <w:rPr>
          <w:sz w:val="21"/>
          <w:szCs w:val="21"/>
        </w:rPr>
        <w:t xml:space="preserve">the last remaining emoji-as-iconography instances (a 45-item options panel plus 3 unrelated stray uses) replaced with the same stroke-icon system used everywhere else in the product, completing the icon migration from an earlier session.</w:t>
      </w:r>
    </w:p>
    <w:p>
      <w:pPr>
        <w:pStyle w:val="ListParagraph"/>
        <w:numPr>
          <w:ilvl w:val="0"/>
          <w:numId w:val="2"/>
        </w:numPr>
        <w:spacing w:after="90" w:line="264"/>
      </w:pPr>
      <w:r>
        <w:rPr>
          <w:b/>
          <w:bCs/>
          <w:sz w:val="21"/>
          <w:szCs w:val="21"/>
        </w:rPr>
        <w:t xml:space="preserve">"Challenge This Pick" — </w:t>
      </w:r>
      <w:r>
        <w:rPr>
          <w:sz w:val="21"/>
          <w:szCs w:val="21"/>
        </w:rPr>
        <w:t xml:space="preserve">a widget on every stack card letting a user name a preferred alternative and explain why, reusing the same per-category vendor data already shown in each card's "See N alternatives" disclosure. Always captured to localStorage; additionally synced to a new backend record when the current analysis has already been persisted server-side. First real instrumentation for the BRD Section 7 "disagreement rate" metric.</w:t>
      </w:r>
    </w:p>
    <w:p>
      <w:pPr>
        <w:pStyle w:val="ListParagraph"/>
        <w:numPr>
          <w:ilvl w:val="0"/>
          <w:numId w:val="2"/>
        </w:numPr>
        <w:spacing w:after="90" w:line="264"/>
      </w:pPr>
      <w:r>
        <w:rPr>
          <w:b/>
          <w:bCs/>
          <w:sz w:val="21"/>
          <w:szCs w:val="21"/>
        </w:rPr>
        <w:t xml:space="preserve">Harness Readiness — </w:t>
      </w:r>
      <w:r>
        <w:rPr>
          <w:sz w:val="21"/>
          <w:szCs w:val="21"/>
        </w:rPr>
        <w:t xml:space="preserve">a fourth entry mode, "Audit your harness," answering a structurally different question than the other three: not what stack to build, but how mature a team's own agent-development process is. A guided 5-question self-audit (system of record, tools, verification, guardrails, observability — one question per component, 4-option radio) produces a /15 score, a maturity band, and a fix-priority list, grounded in a third-party practitioner rubric (Aishwarya Srinivasan / The Gen Academy's Harness Engineering Build Guide, cited on the results screen). Deliberately names no vendor for guardrails or observability fixes — market research behind this feature found that exact vendor category (Lakera, Protect AI, Guardrails AI) got bought out or archived in 2026, so it teaches the underlying practice instead. Client-side only, within the existing BR-5 constraint.</w:t>
      </w:r>
    </w:p>
    <w:p>
      <w:pPr>
        <w:pStyle w:val="ListParagraph"/>
        <w:numPr>
          <w:ilvl w:val="0"/>
          <w:numId w:val="2"/>
        </w:numPr>
        <w:spacing w:after="90" w:line="264"/>
      </w:pPr>
      <w:r>
        <w:rPr>
          <w:b/>
          <w:bCs/>
          <w:sz w:val="21"/>
          <w:szCs w:val="21"/>
        </w:rPr>
        <w:t xml:space="preserve">Harness Readiness — evidence upload — </w:t>
      </w:r>
      <w:r>
        <w:rPr>
          <w:sz w:val="21"/>
          <w:szCs w:val="21"/>
        </w:rPr>
        <w:t xml:space="preserve">an optional "have a file that proves this?" attachment on each of the five audit questions. The browser reads one user-picked file (an &lt;code&gt;AGENTS.md&lt;/code&gt;, a CI config, a permissions file, a failure log), checks it against the level the user selected for themselves, and either confirms it or flags the mismatch with a specific reason — it never overrides the user's own answer, and never blocks. This addresses the one real weakness of a pure self-audit (nothing stops a team scoring themselves top marks on every question) without abandoning the low-friction questionnaire: skipping every upload leaves the flow exactly as it was. Client-side only — the file is read in the browser and discarded, never transmitted.</w:t>
      </w:r>
    </w:p>
    <w:p>
      <w:pPr>
        <w:pStyle w:val="ListParagraph"/>
        <w:numPr>
          <w:ilvl w:val="0"/>
          <w:numId w:val="2"/>
        </w:numPr>
        <w:spacing w:after="90" w:line="264"/>
      </w:pPr>
      <w:r>
        <w:rPr>
          <w:b/>
          <w:bCs/>
          <w:sz w:val="21"/>
          <w:szCs w:val="21"/>
        </w:rPr>
        <w:t xml:space="preserve">LLM Observability — </w:t>
      </w:r>
      <w:r>
        <w:rPr>
          <w:sz w:val="21"/>
          <w:szCs w:val="21"/>
        </w:rPr>
        <w:t xml:space="preserve">a new recommendation category (Langfuse / Braintrust) covering tracing and evaluation of LLM calls. The product recommended AI stacks but had nothing to say about observing the model calls it was recommending — general infrastructure observability (Datadog/Grafana) was already covered; LLM-specific observability was a genuine gap in a product whose whole subject is AI architecture.</w:t>
      </w:r>
    </w:p>
    <w:p>
      <w:pPr>
        <w:pStyle w:val="ListParagraph"/>
        <w:numPr>
          <w:ilvl w:val="0"/>
          <w:numId w:val="2"/>
        </w:numPr>
        <w:spacing w:after="90" w:line="264"/>
      </w:pPr>
      <w:r>
        <w:rPr>
          <w:b/>
          <w:bCs/>
          <w:sz w:val="21"/>
          <w:szCs w:val="21"/>
        </w:rPr>
        <w:t xml:space="preserve">Answer-first results — </w:t>
      </w:r>
      <w:r>
        <w:rPr>
          <w:sz w:val="21"/>
          <w:szCs w:val="21"/>
        </w:rPr>
        <w:t xml:space="preserve">the report opens with the recommendation itself (headline pick plus a cloud/database/compute line-up) instead of the detected-signal count and signal chips that previously filled the first screen, which restated the user's own input back at them. The 19 report sections and 24 stack cards now start collapsed: a card shows its category and the chosen technology, with the reasoning, cited basis, alternatives and refine/ask controls one click away. Nothing was removed — exports and share links still carry the full analysis.</w:t>
      </w:r>
    </w:p>
    <w:p>
      <w:pPr>
        <w:pStyle w:val="ListParagraph"/>
        <w:numPr>
          <w:ilvl w:val="0"/>
          <w:numId w:val="2"/>
        </w:numPr>
        <w:spacing w:after="90" w:line="264"/>
      </w:pPr>
      <w:r>
        <w:rPr>
          <w:b/>
          <w:bCs/>
          <w:sz w:val="21"/>
          <w:szCs w:val="21"/>
        </w:rPr>
        <w:t xml:space="preserve">"Needs your attention" — </w:t>
      </w:r>
      <w:r>
        <w:rPr>
          <w:sz w:val="21"/>
          <w:szCs w:val="21"/>
        </w:rPr>
        <w:t xml:space="preserve">a short ranked list of the picks genuinely worth a second look before committing, surfacing the combination that matters most: a choice that is both expensive to reverse and only weakly supported by the requirement text. Both inputs already existed in the engine; nothing surfaced their intersection before, and it is the single most useful thing this product can tell someone at the point of decision.</w:t>
      </w:r>
    </w:p>
    <w:p>
      <w:pPr>
        <w:pStyle w:val="ListParagraph"/>
        <w:numPr>
          <w:ilvl w:val="0"/>
          <w:numId w:val="2"/>
        </w:numPr>
        <w:spacing w:after="90" w:line="264"/>
      </w:pPr>
      <w:r>
        <w:rPr>
          <w:b/>
          <w:bCs/>
          <w:sz w:val="21"/>
          <w:szCs w:val="21"/>
        </w:rPr>
        <w:t xml:space="preserve">Architecture canvas as the default view — </w:t>
      </w:r>
      <w:r>
        <w:rPr>
          <w:sz w:val="21"/>
          <w:szCs w:val="21"/>
        </w:rPr>
        <w:t xml:space="preserve">the node canvas showing how the recommended components connect is now what a user lands on, with the card view one click away. Made possible by a single-column canvas layout for phones — the six-tier layout previously shrank to a quarter scale on a narrow screen and was unreadable, so defaulting to it would have been worse than not.</w:t>
      </w:r>
    </w:p>
    <w:p>
      <w:pPr>
        <w:pStyle w:val="ListParagraph"/>
        <w:numPr>
          <w:ilvl w:val="0"/>
          <w:numId w:val="2"/>
        </w:numPr>
        <w:spacing w:after="90" w:line="264"/>
      </w:pPr>
      <w:r>
        <w:rPr>
          <w:b/>
          <w:bCs/>
          <w:sz w:val="21"/>
          <w:szCs w:val="21"/>
        </w:rPr>
        <w:t xml:space="preserve">Harness Readiness — history and feedback — </w:t>
      </w:r>
      <w:r>
        <w:rPr>
          <w:sz w:val="21"/>
          <w:szCs w:val="21"/>
        </w:rPr>
        <w:t xml:space="preserve">audits are saved locally and a repeat audit shows what moved per component, which is what makes the "fix your weakest area, then re-audit" loop the rubric describes actually followable. The results screen also asks whether the audit was useful — the first path by which anything from this feature area reaches us rather than staying in the user's browser.</w:t>
      </w:r>
    </w:p>
    <w:p>
      <w:pPr>
        <w:pStyle w:val="ListParagraph"/>
        <w:numPr>
          <w:ilvl w:val="0"/>
          <w:numId w:val="2"/>
        </w:numPr>
        <w:spacing w:after="90" w:line="264"/>
      </w:pPr>
      <w:r>
        <w:rPr>
          <w:b/>
          <w:bCs/>
          <w:sz w:val="21"/>
          <w:szCs w:val="21"/>
        </w:rPr>
        <w:t xml:space="preserve">Deployable without source edits — </w:t>
      </w:r>
      <w:r>
        <w:rPr>
          <w:sz w:val="21"/>
          <w:szCs w:val="21"/>
        </w:rPr>
        <w:t xml:space="preserve">the frontend resolves its API address from configuration rather than a hardcoded local one, and the container image runs its own database migrations and binds the port its host assigns. Without these, a hosted copy would have silently discarded every piece of user feedback and started against an empty database. No infrastructure has been provisioned — see the GCP deployment plan.</w:t>
      </w:r>
    </w:p>
    <w:p>
      <w:pPr>
        <w:pStyle w:val="ListParagraph"/>
        <w:numPr>
          <w:ilvl w:val="0"/>
          <w:numId w:val="2"/>
        </w:numPr>
        <w:spacing w:after="90" w:line="264"/>
      </w:pPr>
      <w:r>
        <w:rPr>
          <w:b/>
          <w:bCs/>
          <w:sz w:val="21"/>
          <w:szCs w:val="21"/>
        </w:rPr>
        <w:t xml:space="preserve">Keyboard-first navigation — </w:t>
      </w:r>
      <w:r>
        <w:rPr>
          <w:sz w:val="21"/>
          <w:szCs w:val="21"/>
        </w:rPr>
        <w:t xml:space="preserve">a command palette on Cmd/Ctrl-K that searches actions, report sections and individual recommendations, plus a shortcut to jump straight to the requirement box. Matching is forgiving — typing "expsvg" finds "Export diagram as SVG" — so the palette is usable from memory rather than requiring exact wording. This was the largest gap between the product and the tools it is measured against.</w:t>
      </w:r>
    </w:p>
    <w:p>
      <w:pPr>
        <w:pStyle w:val="ListParagraph"/>
        <w:numPr>
          <w:ilvl w:val="0"/>
          <w:numId w:val="2"/>
        </w:numPr>
        <w:spacing w:after="90" w:line="264"/>
      </w:pPr>
      <w:r>
        <w:rPr>
          <w:b/>
          <w:bCs/>
          <w:sz w:val="21"/>
          <w:szCs w:val="21"/>
        </w:rPr>
        <w:t xml:space="preserve">Visual density — </w:t>
      </w:r>
      <w:r>
        <w:rPr>
          <w:sz w:val="21"/>
          <w:szCs w:val="21"/>
        </w:rPr>
        <w:t xml:space="preserve">blocks sitting inside a card no longer draw their own border, letting a subtle change of surface do the work instead. Fixing this first required giving the light theme its own distinct surface tone, which had been identical to the card colour.</w:t>
      </w:r>
    </w:p>
    <w:p>
      <w:pPr>
        <w:pStyle w:val="ListParagraph"/>
        <w:numPr>
          <w:ilvl w:val="0"/>
          <w:numId w:val="2"/>
        </w:numPr>
        <w:spacing w:after="90" w:line="264"/>
      </w:pPr>
      <w:r>
        <w:rPr>
          <w:b/>
          <w:bCs/>
          <w:sz w:val="21"/>
          <w:szCs w:val="21"/>
        </w:rPr>
        <w:t xml:space="preserve">A landing page with its own voice — </w:t>
      </w:r>
      <w:r>
        <w:rPr>
          <w:sz w:val="21"/>
          <w:szCs w:val="21"/>
        </w:rPr>
        <w:t xml:space="preserve">the marketing page now carries a display typeface, a signature gradient on its calls to action and subtle motion, while keeping the product palette so it still looks like the tool it advertises. Deliberately not applied to the application itself, where that same decoration would read as generic.</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2026-09-01T07:09:41.417Z</dcterms:created>
  <dcterms:modified xsi:type="dcterms:W3CDTF">2026-09-01T07:09:41.417Z</dcterms:modified>
</cp:coreProperties>
</file>

<file path=docProps/custom.xml><?xml version="1.0" encoding="utf-8"?>
<Properties xmlns="http://schemas.openxmlformats.org/officeDocument/2006/custom-properties" xmlns:vt="http://schemas.openxmlformats.org/officeDocument/2006/docPropsVTypes"/>
</file>