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1.4</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29,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four features shipped since 1.2 in Section 8.2: an AI Opportunity &amp; Leverage Layer surfacing where AI could plausibly be added to a recommended stack; a unified, maintainer-extensible technology catalog; Huawei Cloud vendor support, broadening the product's addressable market to teams already committed to (or evaluating) Huawei Cloud, particularly APAC/China-market deployments; and a new Hybrid Connectivity core category. Corrected the signal-dimension count again (65+ -&gt; 100+, PRD Section 2). No BR status changes — all four are client-side capability additions within the existing BR-5 (zero marginal cost) constraint.</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the Enterprise v2.0 shell in Section 8.2: a persistent sidebar replacing the old fixed-position theme toggle and per-page export controls, a 3-column results layout with a refine/ask drawer, a localStorage-backed analysis history list, and a full mobile responsive treatment (bottom navigation, full-screen overlays for history/export, a re-tuned Flow View canvas). Also documented 8 accessibility/interaction fixes (keyboard navigation, ARIA labeling, focus handling) and the removal of the last remaining emoji-as-iconography instances in favor of stroke icons. All client-side-only, within the existing BR-5 (zero marginal cost) constraint — no BR status changes.</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ListParagraph"/>
        <w:numPr>
          <w:ilvl w:val="0"/>
          <w:numId w:val="2"/>
        </w:numPr>
        <w:spacing w:after="90" w:line="264"/>
      </w:pPr>
      <w:r>
        <w:rPr>
          <w:b/>
          <w:bCs/>
          <w:sz w:val="21"/>
          <w:szCs w:val="21"/>
        </w:rPr>
        <w:t xml:space="preserve">AI Opportunity &amp; Leverage Layer — </w:t>
      </w:r>
      <w:r>
        <w:rPr>
          <w:sz w:val="21"/>
          <w:szCs w:val="21"/>
        </w:rPr>
        <w:t xml:space="preserve">a 12-pattern catalog surfacing where AI could plausibly be added to (or upgraded within) a recommended stack, with compliance-aware guardrails (e.g. Text-to-SQL is never suggested unguarded against regulated data). Client-side only, no marginal cost.</w:t>
      </w:r>
    </w:p>
    <w:p>
      <w:pPr>
        <w:pStyle w:val="ListParagraph"/>
        <w:numPr>
          <w:ilvl w:val="0"/>
          <w:numId w:val="2"/>
        </w:numPr>
        <w:spacing w:after="90" w:line="264"/>
      </w:pPr>
      <w:r>
        <w:rPr>
          <w:b/>
          <w:bCs/>
          <w:sz w:val="21"/>
          <w:szCs w:val="21"/>
        </w:rPr>
        <w:t xml:space="preserve">Unified, extensible technology catalog — </w:t>
      </w:r>
      <w:r>
        <w:rPr>
          <w:sz w:val="21"/>
          <w:szCs w:val="21"/>
        </w:rPr>
        <w:t xml:space="preserve">243 technologies in one source of truth, with a maintainer CLI (scripts/add_tech.py) and a client-side custom-overlay so the catalog can grow without a code release for every addition.</w:t>
      </w:r>
    </w:p>
    <w:p>
      <w:pPr>
        <w:pStyle w:val="ListParagraph"/>
        <w:numPr>
          <w:ilvl w:val="0"/>
          <w:numId w:val="2"/>
        </w:numPr>
        <w:spacing w:after="90" w:line="264"/>
      </w:pPr>
      <w:r>
        <w:rPr>
          <w:b/>
          <w:bCs/>
          <w:sz w:val="21"/>
          <w:szCs w:val="21"/>
        </w:rPr>
        <w:t xml:space="preserve">Huawei Cloud vendor support — </w:t>
      </w:r>
      <w:r>
        <w:rPr>
          <w:sz w:val="21"/>
          <w:szCs w:val="21"/>
        </w:rPr>
        <w:t xml:space="preserve">recommendations now branch on Huawei Cloud the same way they already do for AWS/Azure/GCP, extending the product's relevance to teams already on (or evaluating) Huawei Cloud, particularly APAC/China-market deployments — a market segment the product previously had zero coverage for.</w:t>
      </w:r>
    </w:p>
    <w:p>
      <w:pPr>
        <w:pStyle w:val="ListParagraph"/>
        <w:numPr>
          <w:ilvl w:val="0"/>
          <w:numId w:val="2"/>
        </w:numPr>
        <w:spacing w:after="90" w:line="264"/>
      </w:pPr>
      <w:r>
        <w:rPr>
          <w:b/>
          <w:bCs/>
          <w:sz w:val="21"/>
          <w:szCs w:val="21"/>
        </w:rPr>
        <w:t xml:space="preserve">Hybrid Connectivity — </w:t>
      </w:r>
      <w:r>
        <w:rPr>
          <w:sz w:val="21"/>
          <w:szCs w:val="21"/>
        </w:rPr>
        <w:t xml:space="preserve">a new core recommendation category for teams bridging on-prem and cloud infrastructure via a dedicated link, matched to whichever cloud vendor was recommended.</w:t>
      </w:r>
    </w:p>
    <w:p>
      <w:pPr>
        <w:pStyle w:val="ListParagraph"/>
        <w:numPr>
          <w:ilvl w:val="0"/>
          <w:numId w:val="2"/>
        </w:numPr>
        <w:spacing w:after="90" w:line="264"/>
      </w:pPr>
      <w:r>
        <w:rPr>
          <w:b/>
          <w:bCs/>
          <w:sz w:val="21"/>
          <w:szCs w:val="21"/>
        </w:rPr>
        <w:t xml:space="preserve">Enterprise shell — </w:t>
      </w:r>
      <w:r>
        <w:rPr>
          <w:sz w:val="21"/>
          <w:szCs w:val="21"/>
        </w:rPr>
        <w:t xml:space="preserve">a persistent sidebar (New Analysis, jump-to-current-analysis, Export/Share, a localStorage-backed "Recent" analysis history list, theme toggle) replacing the previous fixed-position theme button and inline per-page export controls; results render in a 3-column layout (in-page navigation, results/flow content, a refine/ask drawer) instead of a single flowing column.</w:t>
      </w:r>
    </w:p>
    <w:p>
      <w:pPr>
        <w:pStyle w:val="ListParagraph"/>
        <w:numPr>
          <w:ilvl w:val="0"/>
          <w:numId w:val="2"/>
        </w:numPr>
        <w:spacing w:after="90" w:line="264"/>
      </w:pPr>
      <w:r>
        <w:rPr>
          <w:b/>
          <w:bCs/>
          <w:sz w:val="21"/>
          <w:szCs w:val="21"/>
        </w:rPr>
        <w:t xml:space="preserve">Mobile responsive collapse — </w:t>
      </w:r>
      <w:r>
        <w:rPr>
          <w:sz w:val="21"/>
          <w:szCs w:val="21"/>
        </w:rPr>
        <w:t xml:space="preserve">the sidebar becomes a bottom navigation bar on narrow viewports, with History and Export/Share opening as full-screen overlays (the same underlying elements the desktop sidebar uses, not a duplicated mobile-only implementation); the refine/ask drawer becomes a full-screen modal instead of a partial sticky overlay; the Flow View canvas gets a dedicated mobile treatment (minimap hidden, larger touch targets, toolbar repositioned to clear the fixed bottom nav).</w:t>
      </w:r>
    </w:p>
    <w:p>
      <w:pPr>
        <w:pStyle w:val="ListParagraph"/>
        <w:numPr>
          <w:ilvl w:val="0"/>
          <w:numId w:val="2"/>
        </w:numPr>
        <w:spacing w:after="90" w:line="264"/>
      </w:pPr>
      <w:r>
        <w:rPr>
          <w:b/>
          <w:bCs/>
          <w:sz w:val="21"/>
          <w:szCs w:val="21"/>
        </w:rPr>
        <w:t xml:space="preserve">Accessibility fixes — </w:t>
      </w:r>
      <w:r>
        <w:rPr>
          <w:sz w:val="21"/>
          <w:szCs w:val="21"/>
        </w:rPr>
        <w:t xml:space="preserve">keyboard navigation and ARIA labeling added to the mode-selection cards, the Flow View canvas nodes, and several icon-only controls; global Escape-key handling extended to close every open drawer/modal/popover consistently, not just the export menu; a modal backdrop-click-to-dismiss added where it was previously missing.</w:t>
      </w:r>
    </w:p>
    <w:p>
      <w:pPr>
        <w:pStyle w:val="ListParagraph"/>
        <w:numPr>
          <w:ilvl w:val="0"/>
          <w:numId w:val="2"/>
        </w:numPr>
        <w:spacing w:after="90" w:line="264"/>
      </w:pPr>
      <w:r>
        <w:rPr>
          <w:b/>
          <w:bCs/>
          <w:sz w:val="21"/>
          <w:szCs w:val="21"/>
        </w:rPr>
        <w:t xml:space="preserve">Iconography cleanup — </w:t>
      </w:r>
      <w:r>
        <w:rPr>
          <w:sz w:val="21"/>
          <w:szCs w:val="21"/>
        </w:rPr>
        <w:t xml:space="preserve">the last remaining emoji-as-iconography instances (a 45-item options panel plus 3 unrelated stray uses) replaced with the same stroke-icon system used everywhere else in the product, completing the icon migration from an earlier session.</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unified/extensible technology catalog, Huawei Cloud vendor support, Hybrid Connectivity category — see PRD Section 11 for the technical detail</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2026-08-29T18:26:45.883Z</dcterms:created>
  <dcterms:modified xsi:type="dcterms:W3CDTF">2026-08-29T18:26:45.883Z</dcterms:modified>
</cp:coreProperties>
</file>

<file path=docProps/custom.xml><?xml version="1.0" encoding="utf-8"?>
<Properties xmlns="http://schemas.openxmlformats.org/officeDocument/2006/custom-properties" xmlns:vt="http://schemas.openxmlformats.org/officeDocument/2006/docPropsVTypes"/>
</file>