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6B7C"/>
          <w:spacing w:val="20"/>
          <w:sz w:val="22"/>
          <w:szCs w:val="22"/>
        </w:rPr>
        <w:t xml:space="preserve">AI STACK ADVISOR</w:t>
      </w:r>
    </w:p>
    <w:p>
      <w:pPr>
        <w:spacing w:after="200"/>
        <w:jc w:val="center"/>
      </w:pPr>
      <w:r>
        <w:rPr>
          <w:b/>
          <w:bCs/>
          <w:color w:val="1F3B57"/>
          <w:sz w:val="56"/>
          <w:szCs w:val="56"/>
        </w:rPr>
        <w:t xml:space="preserve">Product Requirements Document</w:t>
      </w:r>
    </w:p>
    <w:p>
      <w:pPr>
        <w:spacing w:after="800"/>
        <w:jc w:val="center"/>
      </w:pPr>
      <w:r>
        <w:rPr>
          <w:i/>
          <w:iCs/>
          <w:color w:val="2E5C8A"/>
          <w:sz w:val="26"/>
          <w:szCs w:val="26"/>
        </w:rPr>
        <w:t xml:space="preserve">Functional &amp; technical specification</w:t>
      </w:r>
    </w:p>
    <w:p>
      <w:pPr>
        <w:spacing w:after="60"/>
        <w:jc w:val="center"/>
      </w:pPr>
      <w:r>
        <w:rPr>
          <w:b/>
          <w:bCs/>
          <w:color w:val="5B6B7C"/>
          <w:sz w:val="20"/>
          <w:szCs w:val="20"/>
        </w:rPr>
        <w:t xml:space="preserve">Document Version:  </w:t>
      </w:r>
      <w:r>
        <w:rPr>
          <w:color w:val="333333"/>
          <w:sz w:val="20"/>
          <w:szCs w:val="20"/>
        </w:rPr>
        <w:t xml:space="preserve">1.10</w:t>
      </w:r>
    </w:p>
    <w:p>
      <w:pPr>
        <w:spacing w:after="60"/>
        <w:jc w:val="center"/>
      </w:pPr>
      <w:r>
        <w:rPr>
          <w:b/>
          <w:bCs/>
          <w:color w:val="5B6B7C"/>
          <w:sz w:val="20"/>
          <w:szCs w:val="20"/>
        </w:rPr>
        <w:t xml:space="preserve">Status:  </w:t>
      </w:r>
      <w:r>
        <w:rPr>
          <w:color w:val="333333"/>
          <w:sz w:val="20"/>
          <w:szCs w:val="20"/>
        </w:rPr>
        <w:t xml:space="preserve">v1 and v2 shipped, frontend actually wired to the backend — see Section 7.7, Section 9.2, and Release Plan (Section 11). Hexagonal diagram-export architecture, AI Opportunity Layer, technology-catalog unification, Huawei Cloud vendor support, and Hybrid Connectivity added in a later session — see Section 7.2, 7.7, 9.4, and Release Plan.</w:t>
      </w:r>
    </w:p>
    <w:p>
      <w:pPr>
        <w:spacing w:after="60"/>
        <w:jc w:val="center"/>
      </w:pPr>
      <w:r>
        <w:rPr>
          <w:b/>
          <w:bCs/>
          <w:color w:val="5B6B7C"/>
          <w:sz w:val="20"/>
          <w:szCs w:val="20"/>
        </w:rPr>
        <w:t xml:space="preserve">Prepared by:  </w:t>
      </w:r>
      <w:r>
        <w:rPr>
          <w:color w:val="333333"/>
          <w:sz w:val="20"/>
          <w:szCs w:val="20"/>
        </w:rPr>
        <w:t xml:space="preserve">Muneeb, with Claude (Cowork)</w:t>
      </w:r>
    </w:p>
    <w:p>
      <w:pPr>
        <w:spacing w:after="60"/>
        <w:jc w:val="center"/>
      </w:pPr>
      <w:r>
        <w:rPr>
          <w:b/>
          <w:bCs/>
          <w:color w:val="5B6B7C"/>
          <w:sz w:val="20"/>
          <w:szCs w:val="20"/>
        </w:rPr>
        <w:t xml:space="preserve">Date:  </w:t>
      </w:r>
      <w:r>
        <w:rPr>
          <w:color w:val="333333"/>
          <w:sz w:val="20"/>
          <w:szCs w:val="20"/>
        </w:rPr>
        <w:t xml:space="preserve">September 1, 2026</w:t>
      </w:r>
    </w:p>
    <w:p>
      <w:pPr>
        <w:spacing w:after="60"/>
        <w:jc w:val="center"/>
      </w:pPr>
      <w:r>
        <w:rPr>
          <w:b/>
          <w:bCs/>
          <w:color w:val="5B6B7C"/>
          <w:sz w:val="20"/>
          <w:szCs w:val="20"/>
        </w:rPr>
        <w:t xml:space="preserve">Companion document:  </w:t>
      </w:r>
      <w:r>
        <w:rPr>
          <w:color w:val="333333"/>
          <w:sz w:val="20"/>
          <w:szCs w:val="20"/>
        </w:rPr>
        <w:t xml:space="preserve">Business Requirements Document (BRD)</w:t>
      </w:r>
    </w:p>
    <w:p>
      <w:r>
        <w:br w:type="page"/>
      </w:r>
    </w:p>
    <w:p>
      <w:pPr>
        <w:pStyle w:val="Heading1"/>
        <w:pBdr>
          <w:bottom w:val="single" w:color="1F3B57" w:sz="6" w:space="4"/>
        </w:pBdr>
        <w:spacing w:after="160" w:before="360"/>
      </w:pPr>
      <w:r>
        <w:rPr>
          <w:b/>
          <w:bCs/>
          <w:color w:val="1F3B57"/>
          <w:sz w:val="30"/>
          <w:szCs w:val="30"/>
        </w:rPr>
        <w:t xml:space="preserve">1. 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7400"/>
      </w:tblGrid>
      <w:tr>
        <w:trPr>
          <w:tblHeader/>
        </w:trPr>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Version</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Summary</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1.0</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Initial PRD, written to document v1 (shipped) and v2 (designed, pending backend access) — this PRD was written after v1 was built and validated, not before, and reflects the actual implementation rather than a forward-looking spec alone.</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Updated after a two-pass rule-engine expansion (separate session, frontend-only): signal count grew from ~35 to 65+, pickX() functions from ~30 to 45, spanning 8 new use-case domains, a directional cost estimator, a semantic-routing/guardrail-service dimension, and governance/security dimensions. Also new: a 12-file RAG knowledge-base corpus (docs/use-case-knowledge-base/) and a 21-case retrieval evaluation set. Section counts (16) and the core client-side-only architecture (NFR-5) are unchanged.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1.2</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v2 backend built and tested in a later session (FastAPI + Postgres + Alembic; share links, /api/refine, /api/ask, and the MCP tool wrapper — FR-27/28/29 all shipped, /api/refine and /api/ask grounded in the 1.1 RAG corpus). Updated Section 7.7, 9.2, and the Release Plan (Section 11) to reflect that; no functional requirement content changed, only status.</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1.3</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Found via a documentation-vs-code validation pass: FR-27–29 marked "Shipped" based on the backend alone, without ever stating whether index.html actually called those endpoints — for a real stretch of this project it didn't (confirmed by grep: zero fetch() calls). Rewrote Section 7.7 to state both layers explicitly, added FR-27a (independent ask), FR-30 (why-this-pick signal inspection), and FR-31 (real cost display) — all shipped but previously undocumented. Corrected the Release Plan's stale "44 passing tests" to the actual 93 (verified via a live pytest run, not the prior static count).</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1.4</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Resolved Open Questions in Section 13 (target segment hypothesis, telemetry privacy policy, low-overhead feedback mechanism) and formalized Flow View as FR-31a with cross-reference to v1.5 Release Plan.</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1.5</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 refactored diagram export (Flow View, Mermaid, Draw.io, SVG) onto a single hexagonal-architecture domain core (Section 9.4) — fixed a real inconsistency where exporters showed 5-8 nodes against Flow View's 18-20. Added the AI Opportunity &amp; Leverage Layer (FR-32), unified the technology catalog into one source of truth with a maintainer CLI and client-side custom overlay (FR-33), added Huawei Cloud vendor support (FR-34) and a new Hybrid Connectivity core category (FR-6a, 16th category). Corrected stale counts: signal dimensions 65+ -&gt; 100+, pickX() functions 45 -&gt; 47, KB technologies now 243. Two real bugs found and fixed during this work, not just features added — see Section 12.</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1.6</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Later session: added the Enterprise v2.0 shell — persistent sidebar, 3-column results layout, localStorage-backed analysis history, a refine/ask context-panel drawer, and a full mobile responsive treatment (Section 7.8, FR-35 through FR-41). Documented 8 accessibility/interaction fixes and the completion of the emoji-to-icon migration (FR-42, FR-43). See BRD Section 8.2 for the user-facing feature summary.</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1.7</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 added the "Challenge This Pick" widget (FR-44) — the first real instrumentation for BRD Section 7's disagreement-rate metric. New backend Disagreement aggregate (DDD Section 4.5), POST /api/analyses/{analysis_id}/disagreements endpoint, and a per-card frontend form reusing the existing per-category vendor-alternatives data. See BRD Section 8.2 for the user-facing summary.</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1.8</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Later session: added Harness Readiness (Section 7.9, FR-45 through FR-49) — a fourth, structurally distinct entry mode that self-audits a team's own agent-development process (not a technology-stack recommendation) against a third-party practitioner rubric, via a guided 5-question radio flow. Client-side only, v1-only by design (no Python-side equivalent). First step of a new "help teams build their own harness" product direction, separate from the existing stack-advisor product this PRD otherwise documents. See BRD Section 8.2 for the user-facing summary and docs/harness-engineering/ for the underlying scope and research.</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1.10</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 the results presentation was restructured, which is the largest change to how this product is read since v1. Added Section 7.11 (FR-58 through FR-62): the report leads with the recommendation instead of echoing the user's own detected signals back at them, a ranked "needs your attention" list surfaces the picks that are expensive to reverse AND weakly supported, and the 19 sections plus 24 stack cards now default to collapsed rather than all-expanded. Flow View became the default view with Cards as the alternative, after Flow gained a single-column layout for narrow screens (it was previously illegible on a phone). Also: Harness Readiness gained score history and feedback capture (FR-56, FR-57), and four deployment-configuration gaps were closed (NFR-6). See BRD Section 8.2.</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1.9</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Later session: two additions. (1) Harness Readiness evidence upload (Section 7.9, FR-50 through FR-52) — an optional per-question file attachment that checks a real file against the user's self-reported score and flags mismatches without overriding them; the Shape A/B hybrid scoped in docs/harness-engineering/HARNESS_EVIDENCE_SCOPE.md, staying inside NFR-1 by reading one user-picked file in the browser. (2) LLM Observability as a new recommendation category (Section 7.10, FR-53 through FR-55) — Langfuse/Braintrust, closing a real gap where the product recommended AI stacks but said nothing about tracing or evaluating the LLM calls it recommended. Both client-side only. Note for future maintainers: FR-53's not-applicable gating was found wrong in post-merge review (it recommended LLM tracing to stacks with no LLM at all) and is documented here in its corrected form.</w:t>
            </w:r>
          </w:p>
        </w:tc>
      </w:tr>
    </w:tbl>
    <w:p>
      <w:pPr>
        <w:pStyle w:val="Heading1"/>
        <w:pBdr>
          <w:bottom w:val="single" w:color="1F3B57" w:sz="6" w:space="4"/>
        </w:pBdr>
        <w:spacing w:after="160" w:before="360"/>
      </w:pPr>
      <w:r>
        <w:rPr>
          <w:b/>
          <w:bCs/>
          <w:color w:val="1F3B57"/>
          <w:sz w:val="30"/>
          <w:szCs w:val="30"/>
        </w:rPr>
        <w:t xml:space="preserve">2. Product Overview</w:t>
      </w:r>
    </w:p>
    <w:p>
      <w:pPr>
        <w:spacing w:after="160" w:line="276"/>
      </w:pPr>
      <w:r>
        <w:rPr>
          <w:sz w:val="21"/>
          <w:szCs w:val="21"/>
        </w:rPr>
        <w:t xml:space="preserve">AI Stack Advisor is a single-page web application. A user pastes a free-text description of their product or business requirement; the application detects signals in that text across 100+ dimensions (industry, scale, compliance, latency, data type, team size, existing vendor commitments, and more) and renders a full architecture recommendation organized into 16 navigable sections, covering both traditional infrastructure decisions and AI-native decisions.</w:t>
      </w:r>
    </w:p>
    <w:p>
      <w:pPr>
        <w:spacing w:after="160" w:line="276"/>
      </w:pPr>
      <w:r>
        <w:rPr>
          <w:sz w:val="21"/>
          <w:szCs w:val="21"/>
        </w:rPr>
        <w:t xml:space="preserve">v1 runs entirely client-side: a JavaScript rule engine embedded in a single HTML file, with no server, no API calls, and no data leaving the browser. v2 adds an optional backend for LLM-assisted refinement of ambiguous cases (grounded in a RAG knowledge-base corpus), persistence via share links, and an MCP tool wrapper for use from Claude Desktop/Code — all shipped.</w:t>
      </w:r>
    </w:p>
    <w:p>
      <w:pPr>
        <w:pStyle w:val="Heading1"/>
        <w:pBdr>
          <w:bottom w:val="single" w:color="1F3B57" w:sz="6" w:space="4"/>
        </w:pBdr>
        <w:spacing w:after="160" w:before="360"/>
      </w:pPr>
      <w:r>
        <w:rPr>
          <w:b/>
          <w:bCs/>
          <w:color w:val="1F3B57"/>
          <w:sz w:val="30"/>
          <w:szCs w:val="30"/>
        </w:rPr>
        <w:t xml:space="preserve">3. Problem Statement</w:t>
      </w:r>
    </w:p>
    <w:p>
      <w:pPr>
        <w:spacing w:after="160" w:line="276"/>
      </w:pPr>
      <w:r>
        <w:rPr>
          <w:sz w:val="21"/>
          <w:szCs w:val="21"/>
        </w:rPr>
        <w:t xml:space="preserve">See BRD Section 3 for the full business framing. In product terms: a user with a business requirement in their head has no fast way to translate it into a concrete, defensible technology and AI architecture without either (a) already having architect-level expertise across infrastructure, application design, and AI systems simultaneously, or (b) spending days researching and cross-referencing trade-offs manually.</w:t>
      </w:r>
    </w:p>
    <w:p>
      <w:pPr>
        <w:pStyle w:val="Heading1"/>
        <w:pBdr>
          <w:bottom w:val="single" w:color="1F3B57" w:sz="6" w:space="4"/>
        </w:pBdr>
        <w:spacing w:after="160" w:before="360"/>
      </w:pPr>
      <w:r>
        <w:rPr>
          <w:b/>
          <w:bCs/>
          <w:color w:val="1F3B57"/>
          <w:sz w:val="30"/>
          <w:szCs w:val="30"/>
        </w:rPr>
        <w:t xml:space="preserve">4. Goals &amp; Non-Goals</w:t>
      </w:r>
    </w:p>
    <w:p>
      <w:pPr>
        <w:pStyle w:val="Heading2"/>
        <w:spacing w:after="120" w:before="280"/>
      </w:pPr>
      <w:r>
        <w:rPr>
          <w:b/>
          <w:bCs/>
          <w:color w:val="2E5C8A"/>
          <w:sz w:val="24"/>
          <w:szCs w:val="24"/>
        </w:rPr>
        <w:t xml:space="preserve">4.1 Goals</w:t>
      </w:r>
    </w:p>
    <w:p>
      <w:pPr>
        <w:pStyle w:val="ListParagraph"/>
        <w:numPr>
          <w:ilvl w:val="0"/>
          <w:numId w:val="2"/>
        </w:numPr>
        <w:spacing w:after="90" w:line="264"/>
      </w:pPr>
      <w:r>
        <w:rPr>
          <w:sz w:val="21"/>
          <w:szCs w:val="21"/>
        </w:rPr>
        <w:t xml:space="preserve">Zero-friction input: a single free-text field, no wizard, no required structured fields.</w:t>
      </w:r>
    </w:p>
    <w:p>
      <w:pPr>
        <w:pStyle w:val="ListParagraph"/>
        <w:numPr>
          <w:ilvl w:val="0"/>
          <w:numId w:val="2"/>
        </w:numPr>
        <w:spacing w:after="90" w:line="264"/>
      </w:pPr>
      <w:r>
        <w:rPr>
          <w:sz w:val="21"/>
          <w:szCs w:val="21"/>
        </w:rPr>
        <w:t xml:space="preserve">Complete-in-one-pass output: every major architecture decision category answered in a single analysis, not a multi-step flow.</w:t>
      </w:r>
    </w:p>
    <w:p>
      <w:pPr>
        <w:pStyle w:val="ListParagraph"/>
        <w:numPr>
          <w:ilvl w:val="0"/>
          <w:numId w:val="2"/>
        </w:numPr>
        <w:spacing w:after="90" w:line="264"/>
      </w:pPr>
      <w:r>
        <w:rPr>
          <w:sz w:val="21"/>
          <w:szCs w:val="21"/>
        </w:rPr>
        <w:t xml:space="preserve">Transparent reasoning: every recommendation states why, and every head-to-head trade-off states when to switch.</w:t>
      </w:r>
    </w:p>
    <w:p>
      <w:pPr>
        <w:pStyle w:val="ListParagraph"/>
        <w:numPr>
          <w:ilvl w:val="0"/>
          <w:numId w:val="2"/>
        </w:numPr>
        <w:spacing w:after="90" w:line="264"/>
      </w:pPr>
      <w:r>
        <w:rPr>
          <w:sz w:val="21"/>
          <w:szCs w:val="21"/>
        </w:rPr>
        <w:t xml:space="preserve">Honest uncertainty: confidence badges distinguish signal-driven recommendations from defaults.</w:t>
      </w:r>
    </w:p>
    <w:p>
      <w:pPr>
        <w:pStyle w:val="ListParagraph"/>
        <w:numPr>
          <w:ilvl w:val="0"/>
          <w:numId w:val="2"/>
        </w:numPr>
        <w:spacing w:after="90" w:line="264"/>
      </w:pPr>
      <w:r>
        <w:rPr>
          <w:sz w:val="21"/>
          <w:szCs w:val="21"/>
        </w:rPr>
        <w:t xml:space="preserve">AI-native depth: LLM sizing, RAG taxonomy, hosting, guardrails, and MCP are first-class sections, not an afterthought bolted onto a generic web-stack tool.</w:t>
      </w:r>
    </w:p>
    <w:p>
      <w:pPr>
        <w:pStyle w:val="Heading2"/>
        <w:spacing w:after="120" w:before="280"/>
      </w:pPr>
      <w:r>
        <w:rPr>
          <w:b/>
          <w:bCs/>
          <w:color w:val="2E5C8A"/>
          <w:sz w:val="24"/>
          <w:szCs w:val="24"/>
        </w:rPr>
        <w:t xml:space="preserve">4.2 Non-Goals</w:t>
      </w:r>
    </w:p>
    <w:p>
      <w:pPr>
        <w:pStyle w:val="ListParagraph"/>
        <w:numPr>
          <w:ilvl w:val="0"/>
          <w:numId w:val="2"/>
        </w:numPr>
        <w:spacing w:after="90" w:line="264"/>
      </w:pPr>
      <w:r>
        <w:rPr>
          <w:sz w:val="21"/>
          <w:szCs w:val="21"/>
        </w:rPr>
        <w:t xml:space="preserve">Not an infrastructure provisioning tool — never executes changes, only recommends.</w:t>
      </w:r>
    </w:p>
    <w:p>
      <w:pPr>
        <w:pStyle w:val="ListParagraph"/>
        <w:numPr>
          <w:ilvl w:val="0"/>
          <w:numId w:val="2"/>
        </w:numPr>
        <w:spacing w:after="90" w:line="264"/>
      </w:pPr>
      <w:r>
        <w:rPr>
          <w:sz w:val="21"/>
          <w:szCs w:val="21"/>
        </w:rPr>
        <w:t xml:space="preserve">Not a benchmarked "ground truth" tool — v1 has not been validated against expert architect judgment at scale, only against internally crafted test scenarios (see Section 12).</w:t>
      </w:r>
    </w:p>
    <w:p>
      <w:pPr>
        <w:pStyle w:val="ListParagraph"/>
        <w:numPr>
          <w:ilvl w:val="0"/>
          <w:numId w:val="2"/>
        </w:numPr>
        <w:spacing w:after="90" w:line="264"/>
      </w:pPr>
      <w:r>
        <w:rPr>
          <w:sz w:val="21"/>
          <w:szCs w:val="21"/>
        </w:rPr>
        <w:t xml:space="preserve">Not (yet) a multi-user collaborative product — no accounts, no shared workspaces in v1 or v2.</w:t>
      </w:r>
    </w:p>
    <w:p>
      <w:pPr>
        <w:pStyle w:val="Heading1"/>
        <w:pBdr>
          <w:bottom w:val="single" w:color="1F3B57" w:sz="6" w:space="4"/>
        </w:pBdr>
        <w:spacing w:after="160" w:before="360"/>
      </w:pPr>
      <w:r>
        <w:rPr>
          <w:b/>
          <w:bCs/>
          <w:color w:val="1F3B57"/>
          <w:sz w:val="30"/>
          <w:szCs w:val="30"/>
        </w:rPr>
        <w:t xml:space="preserve">5. Target Users &amp; Personas</w:t>
      </w:r>
    </w:p>
    <w:p>
      <w:pPr>
        <w:spacing w:after="160" w:line="276"/>
      </w:pPr>
      <w:r>
        <w:rPr>
          <w:sz w:val="21"/>
          <w:szCs w:val="21"/>
        </w:rPr>
        <w:t xml:space="preserve">The product explicitly frames its output as synthesizing six professional perspectives; each stack recommendation is tagged with the role that would typically own that decision. These are not separate personas of the tool's users — they describe whose judgment the tool is trying to approximate for a user who may not have access to all six.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Perspective</w:t>
            </w:r>
          </w:p>
        </w:tc>
        <w:tc>
          <w:tcPr>
            <w:tcW w:type="dxa" w:w="6400"/>
            <w:shd w:fill="1F3B57" w:val="clear"/>
            <w:tcMar>
              <w:top w:type="dxa" w:w="80"/>
              <w:left w:type="dxa" w:w="100"/>
              <w:bottom w:type="dxa" w:w="80"/>
              <w:right w:type="dxa" w:w="100"/>
            </w:tcMar>
            <w:vAlign w:val="center"/>
          </w:tcPr>
          <w:p>
            <w:pPr>
              <w:jc w:val="left"/>
            </w:pPr>
            <w:r>
              <w:rPr>
                <w:b/>
                <w:bCs/>
                <w:color w:val="FFFFFF"/>
                <w:sz w:val="18"/>
                <w:szCs w:val="18"/>
              </w:rPr>
              <w:t xml:space="preserve">Typically owns</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Enterprise Architect</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Cloud provider, IAM, service mesh</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Solution Architect</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API gateway/edge, architecture style, compute model, DNS</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Application Architect</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Languages, messaging, database, frontend</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AI Architect</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selection, model orchestration, RAG, guardrails, MCP</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SDE</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Caching, containers, CI/CD, concurrency/throughput</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TPM</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Observability ownership (shared with SDE), governance (KRA/KPI/SLA/reliability)</w:t>
            </w:r>
          </w:p>
        </w:tc>
      </w:tr>
    </w:tbl>
    <w:p>
      <w:pPr>
        <w:spacing w:after="160" w:line="276"/>
      </w:pPr>
      <w:r>
        <w:rPr>
          <w:sz w:val="21"/>
          <w:szCs w:val="21"/>
        </w:rPr>
        <w:t xml:space="preserve">The actual end-user segments (who opens the tool) are addressed in BRD Section 5 and remain an open commitment — non-technical founder, developer/technical founder, and enterprise architect/TPM are the three candidate segments, each requiring a different depth/hand-holding balance this PRD does not yet resolve.</w:t>
      </w:r>
    </w:p>
    <w:p>
      <w:pPr>
        <w:pStyle w:val="Heading1"/>
        <w:pBdr>
          <w:bottom w:val="single" w:color="1F3B57" w:sz="6" w:space="4"/>
        </w:pBdr>
        <w:spacing w:after="160" w:before="360"/>
      </w:pPr>
      <w:r>
        <w:rPr>
          <w:b/>
          <w:bCs/>
          <w:color w:val="1F3B57"/>
          <w:sz w:val="30"/>
          <w:szCs w:val="30"/>
        </w:rPr>
        <w:t xml:space="preserve">6. User Stories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As a...</w:t>
            </w:r>
          </w:p>
        </w:tc>
        <w:tc>
          <w:tcPr>
            <w:tcW w:type="dxa" w:w="3400"/>
            <w:shd w:fill="1F3B57" w:val="clear"/>
            <w:tcMar>
              <w:top w:type="dxa" w:w="80"/>
              <w:left w:type="dxa" w:w="100"/>
              <w:bottom w:type="dxa" w:w="80"/>
              <w:right w:type="dxa" w:w="100"/>
            </w:tcMar>
            <w:vAlign w:val="center"/>
          </w:tcPr>
          <w:p>
            <w:pPr>
              <w:jc w:val="left"/>
            </w:pPr>
            <w:r>
              <w:rPr>
                <w:b/>
                <w:bCs/>
                <w:color w:val="FFFFFF"/>
                <w:sz w:val="18"/>
                <w:szCs w:val="18"/>
              </w:rPr>
              <w:t xml:space="preserve">I want...</w:t>
            </w:r>
          </w:p>
        </w:tc>
        <w:tc>
          <w:tcPr>
            <w:tcW w:type="dxa" w:w="3000"/>
            <w:shd w:fill="1F3B57" w:val="clear"/>
            <w:tcMar>
              <w:top w:type="dxa" w:w="80"/>
              <w:left w:type="dxa" w:w="100"/>
              <w:bottom w:type="dxa" w:w="80"/>
              <w:right w:type="dxa" w:w="100"/>
            </w:tcMar>
            <w:vAlign w:val="center"/>
          </w:tcPr>
          <w:p>
            <w:pPr>
              <w:jc w:val="left"/>
            </w:pPr>
            <w:r>
              <w:rPr>
                <w:b/>
                <w:bCs/>
                <w:color w:val="FFFFFF"/>
                <w:sz w:val="18"/>
                <w:szCs w:val="18"/>
              </w:rPr>
              <w:t xml:space="preserve">So that...</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As a solo founder scoping an MVP</w:t>
            </w:r>
          </w:p>
        </w:tc>
        <w:tc>
          <w:tcPr>
            <w:tcW w:type="dxa" w:w="3400"/>
            <w:tcMar>
              <w:top w:type="dxa" w:w="80"/>
              <w:left w:type="dxa" w:w="100"/>
              <w:bottom w:type="dxa" w:w="80"/>
              <w:right w:type="dxa" w:w="100"/>
            </w:tcMar>
            <w:vAlign w:val="center"/>
          </w:tcPr>
          <w:p>
            <w:pPr>
              <w:jc w:val="left"/>
            </w:pPr>
            <w:r>
              <w:rPr>
                <w:b w:val="false"/>
                <w:bCs w:val="false"/>
                <w:color w:val="000000"/>
                <w:sz w:val="19"/>
                <w:szCs w:val="19"/>
              </w:rPr>
              <w:t xml:space="preserve">I want a stack recommendation from one paragraph of description</w:t>
            </w:r>
          </w:p>
        </w:tc>
        <w:tc>
          <w:tcPr>
            <w:tcW w:type="dxa" w:w="3000"/>
            <w:tcMar>
              <w:top w:type="dxa" w:w="80"/>
              <w:left w:type="dxa" w:w="100"/>
              <w:bottom w:type="dxa" w:w="80"/>
              <w:right w:type="dxa" w:w="100"/>
            </w:tcMar>
            <w:vAlign w:val="center"/>
          </w:tcPr>
          <w:p>
            <w:pPr>
              <w:jc w:val="left"/>
            </w:pPr>
            <w:r>
              <w:rPr>
                <w:b w:val="false"/>
                <w:bCs w:val="false"/>
                <w:color w:val="000000"/>
                <w:sz w:val="19"/>
                <w:szCs w:val="19"/>
              </w:rPr>
              <w:t xml:space="preserve">so that I don't need to hire an architect before writing my first line of code.</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As a developer evaluating Kafka vs. a managed queue</w:t>
            </w:r>
          </w:p>
        </w:tc>
        <w:tc>
          <w:tcPr>
            <w:tcW w:type="dxa" w:w="3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I want the tool to tell me not just what to pick but exactly when I'd need to switch</w:t>
            </w:r>
          </w:p>
        </w:tc>
        <w:tc>
          <w:tcPr>
            <w:tcW w:type="dxa" w:w="3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so that I can defer the decision confidently instead of over-engineering on day one.</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As an AI product builder</w:t>
            </w:r>
          </w:p>
        </w:tc>
        <w:tc>
          <w:tcPr>
            <w:tcW w:type="dxa" w:w="3400"/>
            <w:tcMar>
              <w:top w:type="dxa" w:w="80"/>
              <w:left w:type="dxa" w:w="100"/>
              <w:bottom w:type="dxa" w:w="80"/>
              <w:right w:type="dxa" w:w="100"/>
            </w:tcMar>
            <w:vAlign w:val="center"/>
          </w:tcPr>
          <w:p>
            <w:pPr>
              <w:jc w:val="left"/>
            </w:pPr>
            <w:r>
              <w:rPr>
                <w:b w:val="false"/>
                <w:bCs w:val="false"/>
                <w:color w:val="000000"/>
                <w:sz w:val="19"/>
                <w:szCs w:val="19"/>
              </w:rPr>
              <w:t xml:space="preserve">I want guidance on LLM size, RAG pattern, and guardrail placement specific to my use case</w:t>
            </w:r>
          </w:p>
        </w:tc>
        <w:tc>
          <w:tcPr>
            <w:tcW w:type="dxa" w:w="3000"/>
            <w:tcMar>
              <w:top w:type="dxa" w:w="80"/>
              <w:left w:type="dxa" w:w="100"/>
              <w:bottom w:type="dxa" w:w="80"/>
              <w:right w:type="dxa" w:w="100"/>
            </w:tcMar>
            <w:vAlign w:val="center"/>
          </w:tcPr>
          <w:p>
            <w:pPr>
              <w:jc w:val="left"/>
            </w:pPr>
            <w:r>
              <w:rPr>
                <w:b w:val="false"/>
                <w:bCs w:val="false"/>
                <w:color w:val="000000"/>
                <w:sz w:val="19"/>
                <w:szCs w:val="19"/>
              </w:rPr>
              <w:t xml:space="preserve">so that I don't have to separately research 14 RAG variants and cross-reference them against my compliance needs.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As an engineer in a regulated/air-gapped environment</w:t>
            </w:r>
          </w:p>
        </w:tc>
        <w:tc>
          <w:tcPr>
            <w:tcW w:type="dxa" w:w="3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I want the tool to recognize that constraint and never recommend a public-cloud service</w:t>
            </w:r>
          </w:p>
        </w:tc>
        <w:tc>
          <w:tcPr>
            <w:tcW w:type="dxa" w:w="3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so that I can trust the output enough to act on it without re-checking every line.</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As a TPM setting up a new service</w:t>
            </w:r>
          </w:p>
        </w:tc>
        <w:tc>
          <w:tcPr>
            <w:tcW w:type="dxa" w:w="3400"/>
            <w:tcMar>
              <w:top w:type="dxa" w:w="80"/>
              <w:left w:type="dxa" w:w="100"/>
              <w:bottom w:type="dxa" w:w="80"/>
              <w:right w:type="dxa" w:w="100"/>
            </w:tcMar>
            <w:vAlign w:val="center"/>
          </w:tcPr>
          <w:p>
            <w:pPr>
              <w:jc w:val="left"/>
            </w:pPr>
            <w:r>
              <w:rPr>
                <w:b w:val="false"/>
                <w:bCs w:val="false"/>
                <w:color w:val="000000"/>
                <w:sz w:val="19"/>
                <w:szCs w:val="19"/>
              </w:rPr>
              <w:t xml:space="preserve">I want starter KRA/KPI/SLA targets tailored to my project's risk profile</w:t>
            </w:r>
          </w:p>
        </w:tc>
        <w:tc>
          <w:tcPr>
            <w:tcW w:type="dxa" w:w="3000"/>
            <w:tcMar>
              <w:top w:type="dxa" w:w="80"/>
              <w:left w:type="dxa" w:w="100"/>
              <w:bottom w:type="dxa" w:w="80"/>
              <w:right w:type="dxa" w:w="100"/>
            </w:tcMar>
            <w:vAlign w:val="center"/>
          </w:tcPr>
          <w:p>
            <w:pPr>
              <w:jc w:val="left"/>
            </w:pPr>
            <w:r>
              <w:rPr>
                <w:b w:val="false"/>
                <w:bCs w:val="false"/>
                <w:color w:val="000000"/>
                <w:sz w:val="19"/>
                <w:szCs w:val="19"/>
              </w:rPr>
              <w:t xml:space="preserve">so that I have a first draft to negotiate with stakeholders instead of starting from a blank page.</w:t>
            </w:r>
          </w:p>
        </w:tc>
      </w:tr>
    </w:tbl>
    <w:p>
      <w:pPr>
        <w:pStyle w:val="Heading1"/>
        <w:pBdr>
          <w:bottom w:val="single" w:color="1F3B57" w:sz="6" w:space="4"/>
        </w:pBdr>
        <w:spacing w:after="160" w:before="360"/>
      </w:pPr>
      <w:r>
        <w:rPr>
          <w:b/>
          <w:bCs/>
          <w:color w:val="1F3B57"/>
          <w:sz w:val="30"/>
          <w:szCs w:val="30"/>
        </w:rPr>
        <w:t xml:space="preserve">7. Functional Requirements</w:t>
      </w:r>
    </w:p>
    <w:p>
      <w:pPr>
        <w:spacing w:after="160" w:line="276"/>
      </w:pPr>
      <w:r>
        <w:rPr>
          <w:sz w:val="21"/>
          <w:szCs w:val="21"/>
        </w:rPr>
        <w:t xml:space="preserve">Grouped by module. Each row reflects what is actually implemented in v1 unless marked otherwise.</w:t>
      </w:r>
    </w:p>
    <w:p>
      <w:pPr>
        <w:pStyle w:val="Heading2"/>
        <w:spacing w:after="120" w:before="280"/>
      </w:pPr>
      <w:r>
        <w:rPr>
          <w:b/>
          <w:bCs/>
          <w:color w:val="2E5C8A"/>
          <w:sz w:val="24"/>
          <w:szCs w:val="24"/>
        </w:rPr>
        <w:t xml:space="preserve">7.1 Input &amp; Signal Detection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Accept free-text business/product requirement input via a single textarea; no required structured fields.</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Provide five one-click example scenarios spanning fintech, healthcare, e-commerce, enterprise, and early-stage MVP profiles.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Detect 65+ signal dimensions from the input text (industry, scale, compliance, latency, data type, team size, cloud vendor mentions, language mentions, and more) via keyword and pattern matching.</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Strip short negated clauses ("no compliance requirements", "don't need X") before signal matching, so stated non-requirements are not read as requirements.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Detect on-premises/air-gapped/no-public-cloud requirements from raw (non-negation-stripped) text, since these are phrased using negation words that are themselves the requirement.</w:t>
            </w:r>
          </w:p>
        </w:tc>
      </w:tr>
    </w:tbl>
    <w:p>
      <w:pPr>
        <w:pStyle w:val="Heading2"/>
        <w:spacing w:after="120" w:before="280"/>
      </w:pPr>
      <w:r>
        <w:rPr>
          <w:b/>
          <w:bCs/>
          <w:color w:val="2E5C8A"/>
          <w:sz w:val="24"/>
          <w:szCs w:val="24"/>
        </w:rPr>
        <w:t xml:space="preserve">7.2 Core Technical Stack (16 categories)</w:t>
      </w:r>
    </w:p>
    <w:p>
      <w:pPr>
        <w:spacing w:after="160" w:line="276"/>
      </w:pPr>
      <w:r>
        <w:rPr>
          <w:sz w:val="21"/>
          <w:szCs w:val="21"/>
        </w:rPr>
        <w:t xml:space="preserve">Cloud provider, API gateway/edge, IAM, backend language(s), architecture style, compute model, messaging/streaming, service mesh, caching, primary database(s), containers/orchestration, observability, frontend, CI/CD &amp; deployment, DNS, hybrid connectivity.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Each of the 16 stack categories must return a recommendation, a plain-language rationale, a confidence rating (High/Medium/Low), and the architect role that typically owns that decision.</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FR-6a</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Hybrid Connectivity category (added later session): recommend a dedicated-link + transit-hub pairing matched to the chosen cloud vendor (AWS Direct Connect+Transit Gateway, Azure ExpressRoute+Virtual WAN, GCP Cloud Interconnect+Network Connectivity Center, Huawei Direct Connect+Enterprise Router) plus VPN-failover and MACsec guidance, when a dedicated on-prem-to-cloud link is detected. Always rendered as the 16th card; content states "not required" or "not applicable" (air-gapped) rather than the card being hidden, matching every other always-shown category.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FR-7</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On-premises/air-gapped detection (FR-5) must override the default recommendation in every category where a public-cloud service would otherwise be suggested (cloud, gateway, compute, containers, observability, CI/CD, DNS, hybrid connectivity).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FR-8</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Analytics/ETL-heavy workloads without a transactional, chat, or RAG signal must be routed to a data-warehouse recommendation (BigQuery/Snowflake/Redshift) rather than a general-purpose OLTP database.</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FR-9</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Conflicting signals (e.g. a small team combined with high-scale/enterprise requirements) must resolve to a stated middle-ground recommendation with the conflict acknowledged in the rationale, not a recommendation whose own justification contradicts part of the input.</w:t>
            </w:r>
          </w:p>
        </w:tc>
      </w:tr>
    </w:tbl>
    <w:p>
      <w:pPr>
        <w:pStyle w:val="Heading2"/>
        <w:spacing w:after="120" w:before="280"/>
      </w:pPr>
      <w:r>
        <w:rPr>
          <w:b/>
          <w:bCs/>
          <w:color w:val="2E5C8A"/>
          <w:sz w:val="24"/>
          <w:szCs w:val="24"/>
        </w:rPr>
        <w:t xml:space="preserve">7.3 Key Trade-off Decisions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FR-10</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explicit head-to-head recommendations for: single-cloud vs. multi-cloud, Terraform vs. Pulumi/CDK/native IaC, Kafka vs. Pub/Sub vs. managed queue, and Kubernetes vs. serverless.</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FR-11</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Each trade-off must state the recommendation, why, and an explicit "switch when" condition describing the trigger for reconsidering.</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FR-12</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On-premises detection must override the cloud-strategy trade-off entirely, replacing the single-vs-multi-cloud question with a public-cloud-vs-on-premises framing.</w:t>
            </w:r>
          </w:p>
        </w:tc>
      </w:tr>
    </w:tbl>
    <w:p>
      <w:pPr>
        <w:pStyle w:val="Heading2"/>
        <w:spacing w:after="120" w:before="280"/>
      </w:pPr>
      <w:r>
        <w:rPr>
          <w:b/>
          <w:bCs/>
          <w:color w:val="2E5C8A"/>
          <w:sz w:val="24"/>
          <w:szCs w:val="24"/>
        </w:rPr>
        <w:t xml:space="preserve">7.4 AI / LLM Strategy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FR-13</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Recommend single-model vs. multi-model orchestration strategy, with a standing task-to-model mapping table (reasoning/design, code generation, classification/routing, RAG synthesis, agent orchestration).</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FR-14</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 local vs. cloud model hosting based on budget and security/compliance signals, including a stated cost-crossover heuristic.</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FR-15</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a VRAM sizing reference table (4B/12B/30B/70B+ tiers, fp16 and int4-quantized footprints, typical GPU, notes) with the tier suited to the user's inputs highlighted.</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FR-16</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 interface topology (hybrid / distributed / mesh, each defined in-product) separately for the LLM serving layer and the RAG/retrieval layer.</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FR-17</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Recommend MCP vs. direct API integration, with the reuse/multi-client condition that should trigger adopting MCP.</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FR-18</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 a RAG architecture from a 14-variant taxonomy, or explicitly state that RAG is not required, including the specific case where retrieval should target structured/SQL data instead of a vector store.</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FR-19</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State explicitly where the vector database sits in the pipeline (or that none is required), and recommend a specific vector store choice based on existing database investment and scale.</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FR-20</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 guardrails as a 5-stage pipeline (input, retrieval/tool-call, in-flight generation, output, post-hoc evals/monitoring) — never input/output only.</w:t>
            </w:r>
          </w:p>
        </w:tc>
      </w:tr>
    </w:tbl>
    <w:p>
      <w:pPr>
        <w:pStyle w:val="Heading2"/>
        <w:spacing w:after="120" w:before="280"/>
      </w:pPr>
      <w:r>
        <w:rPr>
          <w:b/>
          <w:bCs/>
          <w:color w:val="2E5C8A"/>
          <w:sz w:val="24"/>
          <w:szCs w:val="24"/>
        </w:rPr>
        <w:t xml:space="preserve">7.5 Cost, Throughput &amp; Governance</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FR-21</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cost/resource optimization recommendations (compute right-sizing, reserved vs. spot capacity, storage tiering, LLM cost routing, caching, FinOps tagging).</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FR-22</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Provide concurrency/throughput recommendations (async I/O, connection pooling, autoscaling strategy, read replicas, CDN, backpressure, response streaming, circuit breakers).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FR-23</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governance targets across four categories — KRA, KPI, SLA, and reliability/continuous-improvement (MTTD/MTTR, postmortem cadence, error-budget policy) — tuned by the same input signals as the rest of the output, with an explicit disclaimer that these are starting-point defaults, not commitments.</w:t>
            </w:r>
          </w:p>
        </w:tc>
      </w:tr>
    </w:tbl>
    <w:p>
      <w:pPr>
        <w:pStyle w:val="Heading2"/>
        <w:spacing w:after="120" w:before="280"/>
      </w:pPr>
      <w:r>
        <w:rPr>
          <w:b/>
          <w:bCs/>
          <w:color w:val="2E5C8A"/>
          <w:sz w:val="24"/>
          <w:szCs w:val="24"/>
        </w:rPr>
        <w:t xml:space="preserve">7.6 Navigation &amp; Presentation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FR-24</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a sticky navigation bar with jump-links to all 16 result sections.</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FR-25</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Render each result section as an independently collapsible element, defaulting to open, with a single Collapse All / Expand All control.</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FR-26</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Display all detected input signals as a visible chip list before the recommendation sections, so the user can see what drove the output.</w:t>
            </w:r>
          </w:p>
        </w:tc>
      </w:tr>
    </w:tbl>
    <w:p>
      <w:pPr>
        <w:pStyle w:val="Heading2"/>
        <w:spacing w:after="120" w:before="280"/>
      </w:pPr>
      <w:r>
        <w:rPr>
          <w:b/>
          <w:bCs/>
          <w:color w:val="2E5C8A"/>
          <w:sz w:val="24"/>
          <w:szCs w:val="24"/>
        </w:rPr>
        <w:t xml:space="preserve">7.7 v2 — Shipped</w:t>
      </w:r>
    </w:p>
    <w:p>
      <w:pPr>
        <w:spacing w:after="160" w:line="276"/>
      </w:pPr>
      <w:r>
        <w:rPr>
          <w:i/>
          <w:iCs/>
          <w:color w:val="5B6B7C"/>
          <w:sz w:val="19"/>
          <w:szCs w:val="19"/>
        </w:rPr>
        <w:t xml:space="preserve">"Shipped" below means both layers: the backend endpoint is built and tested, AND index.html has a real, clickable UI element wired to call it. Earlier revisions of this table only asserted the first layer — for a stretch of this project's history the backend was fully shipped while index.html had zero fetch() calls to it at all. That gap is closed as of the guided-mode + backend-wiring milestone; both are true now.</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FR-27</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An optional "Refine with AI" pass that sends the free-text input and the v1 rule-engine output to an LLM (user's own Anthropic API key) for cases where the rules are uncertain. Adjustments are only made when the model can cite a specific reason; every pass is kept, not overwritten, so the reasoning history is comparable across repeated passes.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POST /api/refine, per-card "✨ Refine with AI" button in index.html, refinement history retained client-side</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FR-27a</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Follow-up Q&amp;A scoped to a recommendation, independent of whether refine has been used on that card first.</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POST /api/ask, independent "💬 Ask a question" button in index.html</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FR-28</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Share links: persist a completed analysis to a shareable URL, rendered read-only with the input form and AI buttons removed.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POST /api/analyses/{id}/share, "📎 Share this analysis" button, ?shared=SLUG read-only view</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FR-29</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MCP tool wrapper (recommend_stack(...)) callable from Claude Desktop/Code directly.</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FR-30</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Show which specific detected signals drove each stack card's recommendation, not just a confidence badge, so the "why" is inspectable per pick rather than only stated as prose.</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no backend dependency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FR-31</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Show real LLM token cost (from the Anthropic response) alongside the existing directional cost estimate once a refine/ask call has been made.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backend returns real usage from message.usage; not persisted to any table</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FR-31a</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Flow View: interactive node-canvas visualization of the architecture recommendation (pan/zoom canvas, minimap, tier-colored nodes) as an alternate to the 16-section card view. Cross-references Release Plan v1.5.</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no backend dependency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FR-32</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AI Opportunity &amp; Leverage Layer: a 12-pattern catalog across all 6 architecture tiers (client/edge/compute/data/ai/ops), attached to Flow View nodes as "New AI Leverage Point" (gap — no AI touchpoint yet) or "AI Optimization Point" (an existing AI touchpoint could be upgraded). Text-to-SQL specifically enforces High complexity and mandatory read-only-replica/PII-tokenization/audit-trail prerequisites when finance/healthcare/compliance/onPrem signals are present, so regulated environments are never advised to expose transactional tables to unconstrained LLMs.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no backend dependency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FR-33</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Technology catalog unified into a single source of truth (#stackKbData.technologies, 243 entries) powering citations/ADR export, with a maintainer CLI (scripts/add_tech.py) that validates schema/domain/maturity-ring/duplicates before any entry is added, and a client-side localStorage overlay letting a user add a custom technology without editing the shipped catalog.</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 a Python authoring script, no backend dependency for the app itself</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FR-34</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Huawei Cloud vendor support: signal detection plus vendor-specific recommendations across cloud provider, API gateway (APIG + ROMA Connect), containers (CCE), DNS, observability (Cloud Eye + LTS), and CI/CD (CodeArts) — the same 6 categories AWS/Azure/GCP already branch on.</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(index.html); backend rule_engine.py has the detection signal only, not the pick-logic branches — see Section 12 for why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FR-44</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"Challenge This Pick": a per-card widget letting a user name a preferred alternative (pre-populated from the same per-category vendor data the card's own "See N alternatives" disclosure already uses, free-text-only for the categories with no such data) and a required reason. Always captured to localStorage; additionally POSTed to a new backend endpoint, best-effort, only when the current analysis already has a persisted analysis_id (never force-created for this purpose). First real instrumentation for BRD Section 7's disagreement-rate metric.</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POST /api/analyses/{analysis_id}/disagreements, new Disagreement table (DDD Section 4.5)</w:t>
            </w:r>
          </w:p>
        </w:tc>
      </w:tr>
    </w:tbl>
    <w:p>
      <w:pPr>
        <w:pStyle w:val="Heading2"/>
        <w:spacing w:after="120" w:before="280"/>
      </w:pPr>
      <w:r>
        <w:rPr>
          <w:b/>
          <w:bCs/>
          <w:color w:val="2E5C8A"/>
          <w:sz w:val="24"/>
          <w:szCs w:val="24"/>
        </w:rPr>
        <w:t xml:space="preserve">7.8 Enterprise Shell &amp; Responsive Layout</w:t>
      </w:r>
    </w:p>
    <w:p>
      <w:pPr>
        <w:spacing w:after="160" w:line="276"/>
      </w:pPr>
      <w:r>
        <w:rPr>
          <w:i/>
          <w:iCs/>
          <w:color w:val="5B6B7C"/>
          <w:sz w:val="19"/>
          <w:szCs w:val="19"/>
        </w:rPr>
        <w:t xml:space="preserve">A presentation-layer restructuring, not a new architectural pattern — no new backend endpoints, no new domain state. Every item below is client-side only (index.html).</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FR-35</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Persistent sidebar navigation (new analysis, jump-to-current-analysis, export/share, theme toggle), replacing the prior fixed-position theme control and inline per-results-page export controls.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FR-36</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Results view renders as a 3-column layout (in-page section navigation, results/flow content, a context drawer for refine/ask) instead of a single flowing column.</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FR-37</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"Recent analyses" history list, persisted to localStorage, capped at the 20 most recent entries; re-analyzing identical text moves the existing entry to the top rather than duplicating it; clicking an entry replays the original analysis exactly via the same code path every other entry mode uses.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no backend dependency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FR-38</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Refine/Ask AI moves into a shared context-panel drawer (one panel, retargeted per card) instead of being inlined into every stack card.</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mechanism unchanged from FR-27/FR-28's existing backend calls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FR-39</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On viewports ≤860px, the sidebar collapses to a fixed bottom navigation bar; History and Export/Share open as full-screen overlays reusing the same underlying elements, not a separate mobile-only implementation.</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FR-40</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On viewports ≤860px, the refine/ask context panel renders as a full-screen modal instead of a partial sticky overlay.</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FR-41</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On viewports ≤860px, the Flow View canvas hides the minimap, enlarges toolbar touch targets, and repositions the pan/zoom toolbar to clear the fixed bottom navigation bar.</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FR-42</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Mode-selection cards and Flow View canvas nodes are keyboard-navigable and screen-reader-labeled; a global Escape key closes any open drawer, modal, or popover; the custom-technology modal dismisses on backdrop click.</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FR-43</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All remaining emoji-as-iconography (a 45-item glide-panel options list, plus 3 unrelated stray instances) replaced with the existing stroke-icon system.</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bl>
    <w:p>
      <w:pPr>
        <w:pStyle w:val="Heading2"/>
        <w:spacing w:after="120" w:before="280"/>
      </w:pPr>
      <w:r>
        <w:rPr>
          <w:b/>
          <w:bCs/>
          <w:color w:val="2E5C8A"/>
          <w:sz w:val="24"/>
          <w:szCs w:val="24"/>
        </w:rPr>
        <w:t xml:space="preserve">7.9 Harness Readiness (self-audit mode)</w:t>
      </w:r>
    </w:p>
    <w:p>
      <w:pPr>
        <w:spacing w:after="160" w:line="276"/>
      </w:pPr>
      <w:r>
        <w:rPr>
          <w:i/>
          <w:iCs/>
          <w:color w:val="5B6B7C"/>
          <w:sz w:val="19"/>
          <w:szCs w:val="19"/>
        </w:rPr>
        <w:t xml:space="preserve">A fourth entry mode, structurally distinct from the other three: it doesn't recommend a technology stack, it scores a team's own agent-development process. Deliberately a guided questionnaire, not free-text signal detection — Appendix B of the source rubric is a 4-point scale per component with concrete, mutually-exclusive level descriptions, which is a multiple-choice UI problem, not a text-mining one (see docs/harness-engineering/HARNESS_READINESS_SCOPE.md for the full rationale). v1-only by design, matching this app's existing zero-marginal-cost invariant — no Python-side equivalent exists or is planned.</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FR-45</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fourth mode-picker card, "Audit your harness," alongside the existing three (guided wizard / free text / diagram upload).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FR-46</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guided 5-question self-audit — one question per harness component (system of record, tools, verification, guardrails, observability), each a 4-option radio (0-3) using the source rubric's level text verbatim — producing a total /15 score and one of 4 maturity bands (harness consumer / real harness exists / production grade / mature).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deterministic scoring, no LLM call</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FR-47</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Results screen: total score + band, one card per component showing its score and matching level description, and a fix-priority list capped at 3, limited to components scoring 0 or 1 only (a component that already scores 2-3 is not padded into the list) — and a graceful "no urgent fix" message when nothing qualifies.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FR-48</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Fix suggestions name concrete, current tools for verification (Ruff, pytest, ESLint, Vitest, Playwright) but deliberately name no vendor for guardrails or observability — the market research behind this feature found that exact vendor category (Lakera, Protect AI, Guardrails AI) got bought out or archived in 2026, so a named product could be defunct by the time someone reads the recommendation.</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FR-49</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visible in-product citation of the source rubric (Aishwarya Srinivasan / The Gen Academy's Harness Engineering Build Guide, Appendix B) on the results screen.</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FR-50</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Optional per-question evidence upload: on each of the five audit questions, the user may attach one file (an AGENTS.md, a CI config, a permissions file, a failure log). The browser reads it with FileReader, checks it against the level the user selected, and renders one of three outcomes — confirmed, mismatch (with a specific reason), or silence when the file isn't recognizable for that component. It never overrides the user's selection, never blocks progress, and is never required: skipping every upload leaves the flow identical to FR-46.</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the file is read in the browser and discarded, never transmitted (NFR-1)</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FR-51</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The evidence check re-runs automatically when the user changes their answer after attaching a file, without requiring re-upload; and the upload control renders only for components that actually have a checker, so a future component cannot show an upload button that could never produce feedback.</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FR-52</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Every evidence verdict's explanatory text must describe what was actually found in the attached file, per code path — a checker with several distinct outcomes may not reuse one generic message across them, since a message asserting something untrue of the user's own file defeats the feature's purpose.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locked by tests after a pre-merge review found reason text that misdescribed the file in 3 of 4 branches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FR-56</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Completed audits are persisted to localStorage (capped at the 10 most recent) and the results screen shows a "Previous audits" block: the overall delta against the previous audit plus the per-component moves, with unchanged components omitted. Deliberately does NOT de-duplicate identical scores, unlike the analysis history — two identical scores months apart are two real data points, and collapsing them would destroy the "stuck at the same score all quarter" signal the feature exists to show.</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FR-57</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results screen captures feedback: a one-click helpful/not-useful choice plus an optional comment, submitted only on an explicit button press, disclosed in-product, and best-effort (an unreachable backend still thanks the user rather than surfacing an infrastructure error). The audit score and per-component answers are sent alongside the comment, since a comment without the score that produced it is close to unreadable.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POST /api/harness-feedback, standalone HarnessFeedback table with no FK to analyses</w:t>
            </w:r>
          </w:p>
        </w:tc>
      </w:tr>
    </w:tbl>
    <w:p>
      <w:pPr>
        <w:pStyle w:val="Heading2"/>
        <w:spacing w:after="120" w:before="280"/>
      </w:pPr>
      <w:r>
        <w:rPr>
          <w:b/>
          <w:bCs/>
          <w:color w:val="2E5C8A"/>
          <w:sz w:val="24"/>
          <w:szCs w:val="24"/>
        </w:rPr>
        <w:t xml:space="preserve">7.10 LLM Observability (tracing &amp; evaluation)</w:t>
      </w:r>
    </w:p>
    <w:p>
      <w:pPr>
        <w:spacing w:after="160" w:line="276"/>
      </w:pPr>
      <w:r>
        <w:rPr>
          <w:i/>
          <w:iCs/>
          <w:color w:val="5B6B7C"/>
          <w:sz w:val="19"/>
          <w:szCs w:val="19"/>
        </w:rPr>
        <w:t xml:space="preserve">A new recommendation category closing a real gap: the product recommended AI stacks but said nothing about observing the model calls it recommended. General infrastructure observability (FR-6, Datadog/Grafana) was already covered; LLM-specific tracing and evaluation was not. Same bespoke AI-layer section shape as Agent Framework (Section 7.7) — deliberately not a stack card, so no Refine/Ask/Challenge wiring.</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FR-53</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Recommend an LLM tracing/evaluation platform (Langfuse or Braintrust), gated twice: not applicable when the stack makes no LLM calls at all (no chatbot, agentic, knowledge-base/RAG, or voice signal), and not applicable for a learning/portfolio project that has an AI feature but no real traffic yet. The no-LLM gate derives from the same shared helper the cost estimate uses, so the two can never disagree about whether a given requirement uses an LLM.</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 Python engine, full parity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FR-54</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Explicit-mention branches (a stated Langfuse or Braintrust preference wins), with an enterprise/large-team default to Braintrust (CI/CD-gated evaluation workflow) and an otherwise-default to Langfuse (free, self-hostable, no per-seat pricing).</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 Python engine</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FR-55</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Vendor comparison visibility derives from the recommendation itself rather than re-testing its gating conditions, so a not-applicable verdict can never render alongside a live vendor comparison.</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locked by a regression test after post-merge review</w:t>
            </w:r>
          </w:p>
        </w:tc>
      </w:tr>
    </w:tbl>
    <w:p>
      <w:pPr>
        <w:pStyle w:val="Heading2"/>
        <w:spacing w:after="120" w:before="280"/>
      </w:pPr>
      <w:r>
        <w:rPr>
          <w:b/>
          <w:bCs/>
          <w:color w:val="2E5C8A"/>
          <w:sz w:val="24"/>
          <w:szCs w:val="24"/>
        </w:rPr>
        <w:t xml:space="preserve">7.11 Results Presentation</w:t>
      </w:r>
    </w:p>
    <w:p>
      <w:pPr>
        <w:spacing w:after="160" w:line="276"/>
      </w:pPr>
      <w:r>
        <w:rPr>
          <w:i/>
          <w:iCs/>
          <w:color w:val="5B6B7C"/>
          <w:sz w:val="19"/>
          <w:szCs w:val="19"/>
        </w:rPr>
        <w:t xml:space="preserve">The largest change to how this product is read since v1, and a presentation-layer change only — no pick, signal or rule-engine output was altered. Driven by an interface audit benchmarked against Lighthouse and the AWS Well-Architected Tool, the two products whose shape most resembles this one. The Well-Architected Tool's most-cited weakness is behavioural rather than visual — teams open it, see a list of risk items, and close the tab with the improvement plan unused — which is the failure mode this restructure exists to avoid. See docs/design/RESULTS_HIERARCHY_SCOPE.md.</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FR-58</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The results header states the recommendation (headline pick plus a cloud/database/compute spine) rather than the detected-signal count and signal chips. Signals move behind a "Why this" disclosure — they are evidence for the answer, not the answer, and remain reachable in one interaction as well as per-card via FR-30.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FR-59</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ranked "needs your attention" list, capped at 4, derived by crossing exit cost (how expensive a pick is to reverse) with confidence (how much signal supported it). A pick that is both hard to reverse AND weakly supported ranks first; a high-confidence pick is never listed at any exit cost. Both inputs already existed in the engine, so this adds no new recommendation output. Only the top rank is alarm-coloured — colouring every row made the list undifferentiated, which defeats a triage list.</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derived from existing conf/EXIT_COST_CATEGORIES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FR-60</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Report sections and stack cards default to collapsed. Previously all 19 sections rendered expanded, and each of the 24 stack cards rendered in full — the disclosure mechanism existed but was never used as disclosure. A collapsed card shows its category and the short pick name; the full pick string, reasoning, basis, alternatives and refine/ask controls appear on expansion. In-page navigation opens its target section as well as scrolling to it, without which a nav click would appear to do nothing.</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nothing removed, and export/share still serialise the full recommendation</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FR-61</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Flow View is the default view, with Cards as the alternative. A view forced for one analysis (brownfield/AI-only, which suppresses the infra topology Flow renders) must not overwrite the user's standing preference.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FR-62</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On viewports at or below 860px, Flow View lays out as a single tier-ordered column with vertical connectors, fit to width and scrolled rather than shrunk to fit. The six-tier horizontal layout spans roughly 1300px and previously auto-fit to a quarter scale on a phone, rendering every label unreadable. Node labels show a short name rather than the full pick string with its caveats.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prerequisite for FR-61, since defaulting to an unreadable canvas would be worse than not defaulting to it</w:t>
            </w:r>
          </w:p>
        </w:tc>
      </w:tr>
    </w:tbl>
    <w:p>
      <w:pPr>
        <w:pStyle w:val="Heading1"/>
        <w:pBdr>
          <w:bottom w:val="single" w:color="1F3B57" w:sz="6" w:space="4"/>
        </w:pBdr>
        <w:spacing w:after="160" w:before="360"/>
      </w:pPr>
      <w:r>
        <w:rPr>
          <w:b/>
          <w:bCs/>
          <w:color w:val="1F3B57"/>
          <w:sz w:val="30"/>
          <w:szCs w:val="30"/>
        </w:rPr>
        <w:t xml:space="preserve">8. Non-Functional Requirements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NFR-1</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v1 must run entirely client-side with zero external network calls, so no user input ever leaves the browser.</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NFR-2</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Analysis must render synchronously with no perceptible delay (rule engine, not an LLM call) — this is a deliberate differentiator from LLM-generation-based competitors.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NFR-3</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The page must remain usable at 16+ result sections via the navigation/collapse features in FR-24/FR-25 rather than requiring a redesign as scope grows.</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NFR-4</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tool must never claim higher certainty than its signal detection supports — every recommendation carries a confidence rating (NFR extension of FR-6), and defaults are visually distinct (Low confidence) from signal-driven picks (High/Medium).</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NFR-5</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v2's optional backend features must degrade gracefully — the client-side experience (v1) must remain fully functional if the backend is unavailable or the user has no API key.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NFR-6</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application must be deployable to a managed container host without source edits: the frontend resolves its API base from a meta tag or injected global (falling back to localhost), and the image runs its own migrations and binds the port injected by the host. The effective CORS allowlist is logged at startup, because a CORS misconfiguration otherwise presents as an opaque browser error with no server-side trace while the API itself is healthy.</w:t>
            </w:r>
          </w:p>
        </w:tc>
      </w:tr>
    </w:tbl>
    <w:p>
      <w:pPr>
        <w:pStyle w:val="Heading1"/>
        <w:pBdr>
          <w:bottom w:val="single" w:color="1F3B57" w:sz="6" w:space="4"/>
        </w:pBdr>
        <w:spacing w:after="160" w:before="360"/>
      </w:pPr>
      <w:r>
        <w:rPr>
          <w:b/>
          <w:bCs/>
          <w:color w:val="1F3B57"/>
          <w:sz w:val="30"/>
          <w:szCs w:val="30"/>
        </w:rPr>
        <w:t xml:space="preserve">9. System Architecture</w:t>
      </w:r>
    </w:p>
    <w:p>
      <w:pPr>
        <w:pStyle w:val="Heading2"/>
        <w:spacing w:after="120" w:before="280"/>
      </w:pPr>
      <w:r>
        <w:rPr>
          <w:b/>
          <w:bCs/>
          <w:color w:val="2E5C8A"/>
          <w:sz w:val="24"/>
          <w:szCs w:val="24"/>
        </w:rPr>
        <w:t xml:space="preserve">9.1 v1 — As Built</w:t>
      </w:r>
    </w:p>
    <w:p>
      <w:pPr>
        <w:spacing w:after="160" w:line="276"/>
      </w:pPr>
      <w:r>
        <w:rPr>
          <w:sz w:val="21"/>
          <w:szCs w:val="21"/>
        </w:rPr>
        <w:t xml:space="preserve">A single self-contained HTML file. A JavaScript rule engine (detectSignals() plus 45 pickX() functions, one per recommendation category) runs synchronously in the browser on form submit. No build step, no framework, no dependencies — chosen deliberately for a tool at this stage of validation, where operational simplicity matters more than the marginal benefit a framework would add (see BRD Section 3.3 differentiation on "zero cost to run").</w:t>
      </w:r>
    </w:p>
    <w:p>
      <w:pPr>
        <w:pStyle w:val="Heading2"/>
        <w:spacing w:after="120" w:before="280"/>
      </w:pPr>
      <w:r>
        <w:rPr>
          <w:b/>
          <w:bCs/>
          <w:color w:val="2E5C8A"/>
          <w:sz w:val="24"/>
          <w:szCs w:val="24"/>
        </w:rPr>
        <w:t xml:space="preserve">9.2 v2 — Shipped</w:t>
      </w:r>
    </w:p>
    <w:p>
      <w:pPr>
        <w:spacing w:after="160" w:line="276"/>
      </w:pPr>
      <w:r>
        <w:rPr>
          <w:sz w:val="21"/>
          <w:szCs w:val="21"/>
        </w:rPr>
        <w:t xml:space="preserve">Documented in full in the companion v2 Design Document. A FastAPI backend adds two endpoints — POST /api/refine (LLM-assisted reconciliation of ambiguous rule-engine output, only overriding a v1 pick when it can cite a specific reason from the input text) and POST /api/ask (grounded follow-up Q&amp;A scoped to the current recommendation). Postgres stores shared analyses. An MCP server wraps the same logic as a callable recommend_stack(...) tool. All three require the user's own Anthropic API key, passed per-request and never stored server-side. All four pieces (share links, /api/refine, /api/ask, MCP tool) are built and tested — see backend/README.md for the running system's test suite and quickstart.</w:t>
      </w:r>
    </w:p>
    <w:p>
      <w:pPr>
        <w:pStyle w:val="Heading2"/>
        <w:spacing w:after="120" w:before="280"/>
      </w:pPr>
      <w:r>
        <w:rPr>
          <w:b/>
          <w:bCs/>
          <w:color w:val="2E5C8A"/>
          <w:sz w:val="24"/>
          <w:szCs w:val="24"/>
        </w:rPr>
        <w:t xml:space="preserve">9.3 Data Flow (v1)</w:t>
      </w:r>
    </w:p>
    <w:p>
      <w:pPr>
        <w:pStyle w:val="ListParagraph"/>
        <w:numPr>
          <w:ilvl w:val="0"/>
          <w:numId w:val="3"/>
        </w:numPr>
        <w:spacing w:after="90" w:line="264"/>
      </w:pPr>
      <w:r>
        <w:rPr>
          <w:sz w:val="21"/>
          <w:szCs w:val="21"/>
        </w:rPr>
        <w:t xml:space="preserve">User enters free text and clicks Analyze.</w:t>
      </w:r>
    </w:p>
    <w:p>
      <w:pPr>
        <w:pStyle w:val="ListParagraph"/>
        <w:numPr>
          <w:ilvl w:val="0"/>
          <w:numId w:val="3"/>
        </w:numPr>
        <w:spacing w:after="90" w:line="264"/>
      </w:pPr>
      <w:r>
        <w:rPr>
          <w:sz w:val="21"/>
          <w:szCs w:val="21"/>
        </w:rPr>
        <w:t xml:space="preserve">detectSignals(text) returns a signals object (65+ boolean/derived fields).</w:t>
      </w:r>
    </w:p>
    <w:p>
      <w:pPr>
        <w:pStyle w:val="ListParagraph"/>
        <w:numPr>
          <w:ilvl w:val="0"/>
          <w:numId w:val="3"/>
        </w:numPr>
        <w:spacing w:after="90" w:line="264"/>
      </w:pPr>
      <w:r>
        <w:rPr>
          <w:sz w:val="21"/>
          <w:szCs w:val="21"/>
        </w:rPr>
        <w:t xml:space="preserve">Each pickX(signals) function returns a recommendation, rationale, and confidence rating for its category.</w:t>
      </w:r>
    </w:p>
    <w:p>
      <w:pPr>
        <w:pStyle w:val="ListParagraph"/>
        <w:numPr>
          <w:ilvl w:val="0"/>
          <w:numId w:val="3"/>
        </w:numPr>
        <w:spacing w:after="90" w:line="264"/>
      </w:pPr>
      <w:r>
        <w:rPr>
          <w:sz w:val="21"/>
          <w:szCs w:val="21"/>
        </w:rPr>
        <w:t xml:space="preserve">The results are assembled into 16 sections, rendered into the DOM inside a sticky-nav/collapsible-section shell.</w:t>
      </w:r>
    </w:p>
    <w:p>
      <w:pPr>
        <w:pStyle w:val="ListParagraph"/>
        <w:numPr>
          <w:ilvl w:val="0"/>
          <w:numId w:val="3"/>
        </w:numPr>
        <w:spacing w:after="90" w:line="264"/>
      </w:pPr>
      <w:r>
        <w:rPr>
          <w:sz w:val="21"/>
          <w:szCs w:val="21"/>
        </w:rPr>
        <w:t xml:space="preserve">Nothing is persisted unless the user explicitly saves/shares it via v2's share-link feature; a page refresh otherwise clears all state.</w:t>
      </w:r>
    </w:p>
    <w:p>
      <w:pPr>
        <w:pStyle w:val="Heading2"/>
        <w:spacing w:after="120" w:before="280"/>
      </w:pPr>
      <w:r>
        <w:rPr>
          <w:b/>
          <w:bCs/>
          <w:color w:val="2E5C8A"/>
          <w:sz w:val="24"/>
          <w:szCs w:val="24"/>
        </w:rPr>
        <w:t xml:space="preserve">9.4 Diagram Export Architecture (Hexagonal / Ports &amp; Adapters)</w:t>
      </w:r>
    </w:p>
    <w:p>
      <w:pPr>
        <w:spacing w:after="160" w:line="276"/>
      </w:pPr>
      <w:r>
        <w:rPr>
          <w:sz w:val="21"/>
          <w:szCs w:val="21"/>
        </w:rPr>
        <w:t xml:space="preserve">Added in a later session, documented in full in docs/walkthrough-hexagonal-refactor.md. Prior to this, buildFlowGraph() (Flow View) and the three exporters (Mermaid, Draw.io, SVG) each independently re-derived their own view of the architecture from the raw recommendation object — Flow View showed 18-20 nodes, the exporters showed a hardcoded 5-8. buildCanonicalArchitectureGraph(ctx, signals) is now the single pure domain core (no browser globals, no file-format strings, no pixel coordinates) that every consumer builds from: layoutFlowGraph(graph) is the presentation adapter that adds x/y/color for Flow View only, and the three exporters serialize the same canonical {nodes, edges} instead of a reduced subset. Mirrors the ports-and-adapters separation already enforced in a sibling project's (Swish_App) HexagonalArchitectureTest.java, adapted to this repo's single-file frameworkless constraint (no Java package tree, no build step) as a static-analysis contract test (backend/tests/test_architecture_contracts.py) plus Node-executed runtime checks instead.</w:t>
      </w:r>
    </w:p>
    <w:p>
      <w:pPr>
        <w:pStyle w:val="Heading1"/>
        <w:pBdr>
          <w:bottom w:val="single" w:color="1F3B57" w:sz="6" w:space="4"/>
        </w:pBdr>
        <w:spacing w:after="160" w:before="360"/>
      </w:pPr>
      <w:r>
        <w:rPr>
          <w:b/>
          <w:bCs/>
          <w:color w:val="1F3B57"/>
          <w:sz w:val="30"/>
          <w:szCs w:val="30"/>
        </w:rPr>
        <w:t xml:space="preserve">10. Success Metrics</w:t>
      </w:r>
    </w:p>
    <w:p>
      <w:pPr>
        <w:spacing w:after="160" w:line="276"/>
      </w:pPr>
      <w:r>
        <w:rPr>
          <w:sz w:val="21"/>
          <w:szCs w:val="21"/>
        </w:rPr>
        <w:t xml:space="preserve">See BRD Section 7 for the full metric definitions (completion rate, re-use rate, disagreement rate, segment concentration, cost per active user). No instrumentation exists yet in v1 — this is listed as an open item in Section 13.</w:t>
      </w:r>
    </w:p>
    <w:p>
      <w:pPr>
        <w:pStyle w:val="Heading1"/>
        <w:pBdr>
          <w:bottom w:val="single" w:color="1F3B57" w:sz="6" w:space="4"/>
        </w:pBdr>
        <w:spacing w:after="160" w:before="360"/>
      </w:pPr>
      <w:r>
        <w:rPr>
          <w:b/>
          <w:bCs/>
          <w:color w:val="1F3B57"/>
          <w:sz w:val="30"/>
          <w:szCs w:val="30"/>
        </w:rPr>
        <w:t xml:space="preserve">11. Release Plan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6000"/>
        <w:gridCol w:w="1800"/>
      </w:tblGrid>
      <w:tr>
        <w:trPr>
          <w:tblHeader/>
        </w:trPr>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Release</w:t>
            </w:r>
          </w:p>
        </w:tc>
        <w:tc>
          <w:tcPr>
            <w:tcW w:type="dxa" w:w="6000"/>
            <w:shd w:fill="1F3B57" w:val="clear"/>
            <w:tcMar>
              <w:top w:type="dxa" w:w="80"/>
              <w:left w:type="dxa" w:w="100"/>
              <w:bottom w:type="dxa" w:w="80"/>
              <w:right w:type="dxa" w:w="100"/>
            </w:tcMar>
            <w:vAlign w:val="center"/>
          </w:tcPr>
          <w:p>
            <w:pPr>
              <w:jc w:val="left"/>
            </w:pPr>
            <w:r>
              <w:rPr>
                <w:b/>
                <w:bCs/>
                <w:color w:val="FFFFFF"/>
                <w:sz w:val="18"/>
                <w:szCs w:val="18"/>
              </w:rPr>
              <w:t xml:space="preserve">Contents</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v1.0</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Core stack (15 categories) + AI/LLM recommendation + RAG + guardrails + MCP servers needed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v1.1</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Trade-off decisions, cost/throughput, governance sections; persona tagging</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v1.2</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AI serving/integration layer: orchestration, hosting/VRAM, topology, MCP-vs-API, guardrail pipeline, vector DB placement</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v1.3</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Sticky nav + collapsible sections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v1.4</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Validation/QA pass — negation handling, on-prem support, warehouse detection, conflict-resolution fixes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v1.5</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Flow View: node-canvas visualization of the recommendation (n8n/Voiceflow/VectorShift-style pan/zoom/drag graph, alternate to the card view); recursive logic audit — fixed several false-positive signal matches and a same-report contradiction between the Compute Model card and the Kubernetes-vs-Serverless trade-off card</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v2.0</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Share links, LLM refinement endpoint (/api/refine), grounded follow-up Q&amp;A (/api/ask), MCP tool wrapper (recommend_stack) — FastAPI + Postgres + Alembic backend, 93 passing/xfailed tests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v2.1</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Frontend wiring: guided-input wizard, per-card Refine/Ask buttons actually calling the v2.0 backend, share button, ?shared=SLUG read-only view, why-this-pick signal inspection, refinement-pass history, real LLM cost display</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v2.2</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Hexagonal diagram-export refactor (Section 9.4) — fixed Flow View/exporter node-count inconsistency; AI Opportunity &amp; Leverage Layer (FR-32) — fixed a phantom-signal-key bug that had silently disabled the compliance guardrail it shipped with; technology catalog unified to one source of truth with maintainer CLI + custom overlay (FR-33); Huawei Cloud vendor support (FR-34); Hybrid Connectivity category (FR-6a) — fixed a pre-existing onPrem false-positive this work surfaced (see Section 12)</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v2.3</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Enterprise v2.0 shell (FR-35 through FR-41) — persistent sidebar, 3-column results layout, localStorage-backed analysis history, refine/ask context-panel drawer, full mobile responsive treatment (bottom nav, full-screen overlays, Flow View mobile tuning); 8 accessibility/interaction fixes and completion of the emoji-to-icon migration (FR-42, FR-43)</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v2.4</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"Challenge This Pick" widget (FR-44) — first real instrumentation for BRD Section 7's disagreement-rate metric. New Disagreement backend aggregate + endpoint, per-card feedback form reusing existing vendor-alternatives data</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v2.5</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Harness Readiness (FR-45 through FR-49, Section 7.9) — a fourth entry mode self-auditing a team's own agent-development process against a third-party rubric via a guided 5-question flow, producing a /15 score, maturity band, and fix-priority list. Client-side only, no vendor names for guardrails/observability by deliberate market-research-driven policy. First step of a new harness-engineering product direction — see docs/harness-engineering/</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v2.6</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Harness Readiness evidence upload (FR-50 through FR-52) — the Shape A/B hybrid from docs/harness-engineering/HARNESS_EVIDENCE_SCOPE.md: optional per-question file attachment that checks real evidence against the self-reported score and flags mismatches without overriding them. Five per-component checkers, client-side only</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v2.7</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Observability category (FR-53 through FR-55) — Langfuse/Braintrust tracing and evaluation recommendation across both engines, closing the gap where the product recommended AI stacks but not the means to observe them. Includes a post-merge correctness fix: the category originally recommended LLM tracing to stacks with no LLM at all, now gated on the same shared LLM-usage helper the cost estimate uses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v2.8</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Harness Readiness score history and feedback capture (FR-56, FR-57) — per-component deltas across audits, and the first path by which anything from this feature area reaches us rather than staying in the user's browser</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v2.9</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Results presentation restructure (FR-58 through FR-62, Section 7.11) — answer-first header, ranked attention list, collapsed sections and cards, Flow as the default view, and a single-column Flow layout for narrow screens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v2.10</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Deployment prerequisites (NFR-6) — API base resolution, migrations and port binding in the image, and a startup CORS log. No infrastructure provisioned; see docs/deployment/GCP_DEPLOYMENT_PLAN.md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bl>
    <w:p>
      <w:pPr>
        <w:pStyle w:val="Heading1"/>
        <w:pBdr>
          <w:bottom w:val="single" w:color="1F3B57" w:sz="6" w:space="4"/>
        </w:pBdr>
        <w:spacing w:after="160" w:before="360"/>
      </w:pPr>
      <w:r>
        <w:rPr>
          <w:b/>
          <w:bCs/>
          <w:color w:val="1F3B57"/>
          <w:sz w:val="30"/>
          <w:szCs w:val="30"/>
        </w:rPr>
        <w:t xml:space="preserve">12. Known Limitations</w:t>
      </w:r>
    </w:p>
    <w:p>
      <w:pPr>
        <w:spacing w:after="160" w:line="276"/>
      </w:pPr>
      <w:r>
        <w:rPr>
          <w:sz w:val="21"/>
          <w:szCs w:val="21"/>
        </w:rPr>
        <w:t xml:space="preserve">From the Validation Report and general assessment — listed explicitly so they are tracked, not discovered later:</w:t>
      </w:r>
    </w:p>
    <w:p>
      <w:pPr>
        <w:pStyle w:val="ListParagraph"/>
        <w:numPr>
          <w:ilvl w:val="0"/>
          <w:numId w:val="2"/>
        </w:numPr>
        <w:spacing w:after="90" w:line="264"/>
      </w:pPr>
      <w:r>
        <w:rPr>
          <w:sz w:val="21"/>
          <w:szCs w:val="21"/>
        </w:rPr>
        <w:t xml:space="preserve">Keyword/pattern matching is inherently approximate; the negation-stripping fix (FR-4) reduces but does not eliminate false-positive signal detection on unusual phrasing.</w:t>
      </w:r>
    </w:p>
    <w:p>
      <w:pPr>
        <w:pStyle w:val="ListParagraph"/>
        <w:numPr>
          <w:ilvl w:val="0"/>
          <w:numId w:val="2"/>
        </w:numPr>
        <w:spacing w:after="90" w:line="264"/>
      </w:pPr>
      <w:r>
        <w:rPr>
          <w:sz w:val="21"/>
          <w:szCs w:val="21"/>
        </w:rPr>
        <w:t xml:space="preserve">No benchmark exists against real expert-architect judgment — validation to date is internal scenario testing (35+ crafted scenarios across the original validation pass and the two-round expansion pass), not comparison against how senior architects would actually decide the same inputs, and not real end users.</w:t>
      </w:r>
    </w:p>
    <w:p>
      <w:pPr>
        <w:pStyle w:val="ListParagraph"/>
        <w:numPr>
          <w:ilvl w:val="0"/>
          <w:numId w:val="2"/>
        </w:numPr>
        <w:spacing w:after="90" w:line="264"/>
      </w:pPr>
      <w:r>
        <w:rPr>
          <w:sz w:val="21"/>
          <w:szCs w:val="21"/>
        </w:rPr>
        <w:t xml:space="preserve">The rule engine encodes a snapshot of current technology/model landscape knowledge and will drift out of date as new models, tools, and best practices emerge, with no automated update mechanism.</w:t>
      </w:r>
    </w:p>
    <w:p>
      <w:pPr>
        <w:pStyle w:val="ListParagraph"/>
        <w:numPr>
          <w:ilvl w:val="0"/>
          <w:numId w:val="2"/>
        </w:numPr>
        <w:spacing w:after="90" w:line="264"/>
      </w:pPr>
      <w:r>
        <w:rPr>
          <w:sz w:val="21"/>
          <w:szCs w:val="21"/>
        </w:rPr>
        <w:t xml:space="preserve">Confidence ratings reflect how much matching signal was detected, not an externally validated probability of correctness — a "High confidence" pick is high-confidence in the sense that strong signal supports it, not that it has been checked against ground truth.</w:t>
      </w:r>
    </w:p>
    <w:p>
      <w:pPr>
        <w:pStyle w:val="ListParagraph"/>
        <w:numPr>
          <w:ilvl w:val="0"/>
          <w:numId w:val="2"/>
        </w:numPr>
        <w:spacing w:after="90" w:line="264"/>
      </w:pPr>
      <w:r>
        <w:rPr>
          <w:sz w:val="21"/>
          <w:szCs w:val="21"/>
        </w:rPr>
        <w:t xml:space="preserve">The docs/use-case-knowledge-base/ corpus is written for RAG retrieval but has only been tested against a local TF-IDF prototype (lexical similarity), not the real embedding-based retrieval /api/refine/ask now use in production — 18/21 eval cases passed against that prototype, with one concrete finding (keyword-dense "Signals/triggers" chunks out-ranking substantive content chunks) already fed back into the ingestion guide. See docs/use-case-knowledge-base/RETRIEVAL-EVAL-SET.md.</w:t>
      </w:r>
    </w:p>
    <w:p>
      <w:pPr>
        <w:pStyle w:val="ListParagraph"/>
        <w:numPr>
          <w:ilvl w:val="0"/>
          <w:numId w:val="2"/>
        </w:numPr>
        <w:spacing w:after="90" w:line="264"/>
      </w:pPr>
      <w:r>
        <w:rPr>
          <w:sz w:val="21"/>
          <w:szCs w:val="21"/>
        </w:rPr>
        <w:t xml:space="preserve">RESOLVED (later session, in two parts — the first was logged here as fully resolved and was not). Part 1 ported the two missing pick FUNCTIONS (pickHybridConnectivity, pickIntegrationGuidance) and marked this item resolved; that was premature, because the item's actual subject was the vendor-specific pick-logic BRANCHES, and the Huawei branches inside pick_cloud/pick_gateway/pick_containers/pick_observability/pick_cicd/pick_dns were still absent — index.html carried 9 huaweiShop references to rule_engine.py's 1, so a Huawei customer saw Huawei Cloud in the browser and AWS from /api/refine, /api/ask and the MCP tool. Part 2 ported those branches, plus the OpenShift branch, the container/CI team-skill notes, and the whole team-skill RDBMS selection in pick_database (an existing-MongoDB requirement got MongoDB alone on screen and "PostgreSQL + MongoDB" from the backend). The structural fix is backend/tests/test_engine_differential.py: it runs a committed corpus through BOTH engines and diffs signals, picks, confidence and the shared keyword tables, so within-function divergence — which the pickX()-set gate in test_engine_parity.py cannot see by construction — fails CI instead of being rediscovered and re-logged here.</w:t>
      </w:r>
    </w:p>
    <w:p>
      <w:pPr>
        <w:pStyle w:val="ListParagraph"/>
        <w:numPr>
          <w:ilvl w:val="0"/>
          <w:numId w:val="2"/>
        </w:numPr>
        <w:spacing w:after="90" w:line="264"/>
      </w:pPr>
      <w:r>
        <w:rPr>
          <w:sz w:val="21"/>
          <w:szCs w:val="21"/>
        </w:rPr>
        <w:t xml:space="preserve">RESOLVED: Python's strong_on_prem keyword list was missing "own server(s)"/"in-house server(s)"/"in house server(s)", which index.html's detectSignals() already had. The cost was larger than the gap looked: "we run our own servers in-house and cannot move to cloud" was on-prem in the browser and not on-prem in the backend, cascading into nine wrong picks including recommending AWS to an air-gapped customer. All six keywords ported, and the differential test above now covers this exact requirement so a keyword-list divergence cannot be flagged-and-forgotten again.</w:t>
      </w:r>
    </w:p>
    <w:p>
      <w:pPr>
        <w:pStyle w:val="Heading1"/>
        <w:pBdr>
          <w:bottom w:val="single" w:color="1F3B57" w:sz="6" w:space="4"/>
        </w:pBdr>
        <w:spacing w:after="160" w:before="360"/>
      </w:pPr>
      <w:r>
        <w:rPr>
          <w:b/>
          <w:bCs/>
          <w:color w:val="1F3B57"/>
          <w:sz w:val="30"/>
          <w:szCs w:val="30"/>
        </w:rPr>
        <w:t xml:space="preserve">13. Open Questions</w:t>
      </w:r>
    </w:p>
    <w:p>
      <w:pPr>
        <w:pStyle w:val="ListParagraph"/>
        <w:numPr>
          <w:ilvl w:val="0"/>
          <w:numId w:val="4"/>
        </w:numPr>
        <w:spacing w:after="90" w:line="264"/>
      </w:pPr>
      <w:r>
        <w:rPr>
          <w:sz w:val="21"/>
          <w:szCs w:val="21"/>
        </w:rPr>
        <w:t xml:space="preserve">RESOLVED (v1.4): Target segment commitment — committed direction is Segment 2 (Tech Leads &amp; Staff Architects at scaling startups/SMBs) as the primary ICP, with Segment 1 (solo founders) as the frictionless on-ramp. This is a committed direction, not yet confirmed by usage — the existing Segment Concentration metric in Section 10 / BRD Section 7 is specifically what will validate or overturn this hypothesis.</w:t>
      </w:r>
    </w:p>
    <w:p>
      <w:pPr>
        <w:pStyle w:val="ListParagraph"/>
        <w:numPr>
          <w:ilvl w:val="0"/>
          <w:numId w:val="4"/>
        </w:numPr>
        <w:spacing w:after="90" w:line="264"/>
      </w:pPr>
      <w:r>
        <w:rPr>
          <w:sz w:val="21"/>
          <w:szCs w:val="21"/>
        </w:rPr>
        <w:t xml:space="preserve">RESOLVED (v1.1): a directional monthly cost estimator was added — compute/database/LLM-API bands by scale tier, with LLM cost broken out by model tier specifically. Deliberately a range, not a point estimate, and explicitly caveated as a planning figure, not a quote, since a client-side tool has no live pricing API. See docs/use-case-knowledge-base/09-cost-estimation-methodology.md for full sourcing.</w:t>
      </w:r>
    </w:p>
    <w:p>
      <w:pPr>
        <w:pStyle w:val="ListParagraph"/>
        <w:numPr>
          <w:ilvl w:val="0"/>
          <w:numId w:val="4"/>
        </w:numPr>
        <w:spacing w:after="90" w:line="264"/>
      </w:pPr>
      <w:r>
        <w:rPr>
          <w:sz w:val="21"/>
          <w:szCs w:val="21"/>
        </w:rPr>
        <w:t xml:space="preserve">RESOLVED (v1.4): Telemetry &amp; privacy policy (NFR-1) — never transmit free-text inputs, diagram payloads, or entity names. If telemetry is ever built, it must be strictly opt-in and restricted to anonymous categorical event counts (e.g. export format clicked, diagram format uploaded). No receiving backend endpoint or telemetry infrastructure exists today, and this policy decision does not constitute a commitment to build one.</w:t>
      </w:r>
    </w:p>
    <w:p>
      <w:pPr>
        <w:pStyle w:val="ListParagraph"/>
        <w:numPr>
          <w:ilvl w:val="0"/>
          <w:numId w:val="4"/>
        </w:numPr>
        <w:spacing w:after="90" w:line="264"/>
      </w:pPr>
      <w:r>
        <w:rPr>
          <w:sz w:val="21"/>
          <w:szCs w:val="21"/>
        </w:rPr>
        <w:t xml:space="preserve">RESOLVED (v1.4): Rule-engine feedback mechanism — adopt a low-overhead "Disagree with pick → Open GitHub Issue / Copy Markdown" workflow that formats the active signal, rule ID, and pick rationale. Known limitation: requiring a GitHub issue is real friction for a mid-review staff engineer, so conversion is expected to be low — a clean zero-backend starting point, not a claim of high adoption.</w:t>
      </w:r>
    </w:p>
    <w:p>
      <w:pPr>
        <w:pStyle w:val="ListParagraph"/>
        <w:numPr>
          <w:ilvl w:val="0"/>
          <w:numId w:val="4"/>
        </w:numPr>
        <w:spacing w:after="90" w:line="264"/>
      </w:pPr>
      <w:r>
        <w:rPr>
          <w:sz w:val="21"/>
          <w:szCs w:val="21"/>
        </w:rPr>
        <w:t xml:space="preserve">RESOLVED (v1.4): Flow View formalization — formalized as FR-31a in Section 7.7, cross-referenced against the existing v1.5 Release Plan entry rather than treated as newly discovered.</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648"/>
      </w:tabs>
    </w:pPr>
    <w:r>
      <w:rPr>
        <w:color w:val="5B6B7C"/>
        <w:sz w:val="16"/>
        <w:szCs w:val="16"/>
      </w:rPr>
      <w:t xml:space="preserve">Product Requirements Document</w:t>
    </w:r>
    <w:r>
      <w:rPr>
        <w:color w:val="5B6B7C"/>
        <w:sz w:val="16"/>
        <w:szCs w:val="16"/>
      </w:rPr>
      <w:t xml:space="preserve">	AI Stack Advisor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2026-09-01T06:01:59.413Z</dcterms:created>
  <dcterms:modified xsi:type="dcterms:W3CDTF">2026-09-01T06:01:59.413Z</dcterms:modified>
</cp:coreProperties>
</file>

<file path=docProps/custom.xml><?xml version="1.0" encoding="utf-8"?>
<Properties xmlns="http://schemas.openxmlformats.org/officeDocument/2006/custom-properties" xmlns:vt="http://schemas.openxmlformats.org/officeDocument/2006/docPropsVTypes"/>
</file>