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  <w:jc w:val="center"/>
      </w:pPr>
      <w:r>
        <w:rPr>
          <w:b/>
          <w:bCs/>
          <w:color w:val="5B6B7C"/>
          <w:spacing w:val="20"/>
          <w:sz w:val="22"/>
          <w:szCs w:val="22"/>
        </w:rPr>
        <w:t xml:space="preserve">AI STACK ADVISOR</w:t>
      </w:r>
    </w:p>
    <w:p>
      <w:pPr>
        <w:spacing w:after="200"/>
        <w:jc w:val="center"/>
      </w:pPr>
      <w:r>
        <w:rPr>
          <w:b/>
          <w:bCs/>
          <w:color w:val="1F3B57"/>
          <w:sz w:val="56"/>
          <w:szCs w:val="56"/>
        </w:rPr>
        <w:t xml:space="preserve">Product Requirements Document</w:t>
      </w:r>
    </w:p>
    <w:p>
      <w:pPr>
        <w:spacing w:after="800"/>
        <w:jc w:val="center"/>
      </w:pPr>
      <w:r>
        <w:rPr>
          <w:i/>
          <w:iCs/>
          <w:color w:val="2E5C8A"/>
          <w:sz w:val="26"/>
          <w:szCs w:val="26"/>
        </w:rPr>
        <w:t xml:space="preserve">Functional &amp; technical specification</w:t>
      </w:r>
    </w:p>
    <w:p>
      <w:pPr>
        <w:spacing w:after="60"/>
        <w:jc w:val="center"/>
      </w:pPr>
      <w:r>
        <w:rPr>
          <w:b/>
          <w:bCs/>
          <w:color w:val="5B6B7C"/>
          <w:sz w:val="20"/>
          <w:szCs w:val="20"/>
        </w:rPr>
        <w:t xml:space="preserve">Document Version:  </w:t>
      </w:r>
      <w:r>
        <w:rPr>
          <w:color w:val="333333"/>
          <w:sz w:val="20"/>
          <w:szCs w:val="20"/>
        </w:rPr>
        <w:t xml:space="preserve">1.3</w:t>
      </w:r>
    </w:p>
    <w:p>
      <w:pPr>
        <w:spacing w:after="60"/>
        <w:jc w:val="center"/>
      </w:pPr>
      <w:r>
        <w:rPr>
          <w:b/>
          <w:bCs/>
          <w:color w:val="5B6B7C"/>
          <w:sz w:val="20"/>
          <w:szCs w:val="20"/>
        </w:rPr>
        <w:t xml:space="preserve">Status:  </w:t>
      </w:r>
      <w:r>
        <w:rPr>
          <w:color w:val="333333"/>
          <w:sz w:val="20"/>
          <w:szCs w:val="20"/>
        </w:rPr>
        <w:t xml:space="preserve">v1 and v2 shipped, frontend actually wired to the backend — see Section 7.7, Section 9.2, and Release Plan (Section 11)</w:t>
      </w:r>
    </w:p>
    <w:p>
      <w:pPr>
        <w:spacing w:after="60"/>
        <w:jc w:val="center"/>
      </w:pPr>
      <w:r>
        <w:rPr>
          <w:b/>
          <w:bCs/>
          <w:color w:val="5B6B7C"/>
          <w:sz w:val="20"/>
          <w:szCs w:val="20"/>
        </w:rPr>
        <w:t xml:space="preserve">Prepared by:  </w:t>
      </w:r>
      <w:r>
        <w:rPr>
          <w:color w:val="333333"/>
          <w:sz w:val="20"/>
          <w:szCs w:val="20"/>
        </w:rPr>
        <w:t xml:space="preserve">Muneeb, with Claude (Cowork)</w:t>
      </w:r>
    </w:p>
    <w:p>
      <w:pPr>
        <w:spacing w:after="60"/>
        <w:jc w:val="center"/>
      </w:pPr>
      <w:r>
        <w:rPr>
          <w:b/>
          <w:bCs/>
          <w:color w:val="5B6B7C"/>
          <w:sz w:val="20"/>
          <w:szCs w:val="20"/>
        </w:rPr>
        <w:t xml:space="preserve">Date:  </w:t>
      </w:r>
      <w:r>
        <w:rPr>
          <w:color w:val="333333"/>
          <w:sz w:val="20"/>
          <w:szCs w:val="20"/>
        </w:rPr>
        <w:t xml:space="preserve">August 17, 2026</w:t>
      </w:r>
    </w:p>
    <w:p>
      <w:pPr>
        <w:spacing w:after="60"/>
        <w:jc w:val="center"/>
      </w:pPr>
      <w:r>
        <w:rPr>
          <w:b/>
          <w:bCs/>
          <w:color w:val="5B6B7C"/>
          <w:sz w:val="20"/>
          <w:szCs w:val="20"/>
        </w:rPr>
        <w:t xml:space="preserve">Companion document:  </w:t>
      </w:r>
      <w:r>
        <w:rPr>
          <w:color w:val="333333"/>
          <w:sz w:val="20"/>
          <w:szCs w:val="20"/>
        </w:rPr>
        <w:t xml:space="preserve">Business Requirements Document (BRD)</w:t>
      </w:r>
    </w:p>
    <w:p>
      <w:r>
        <w:br w:type="page"/>
      </w:r>
    </w:p>
    <w:p>
      <w:pPr>
        <w:pStyle w:val="Heading1"/>
        <w:pBdr>
          <w:bottom w:val="single" w:color="1F3B57" w:sz="6" w:space="4"/>
        </w:pBdr>
        <w:spacing w:after="160" w:before="360"/>
      </w:pPr>
      <w:r>
        <w:rPr>
          <w:b/>
          <w:bCs/>
          <w:color w:val="1F3B57"/>
          <w:sz w:val="30"/>
          <w:szCs w:val="30"/>
        </w:rPr>
        <w:t xml:space="preserve">1. Document Control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7400"/>
      </w:tblGrid>
      <w:tr>
        <w:trPr>
          <w:tblHeader/>
        </w:trPr>
        <w:tc>
          <w:tcPr>
            <w:tcW w:type="dxa" w:w="16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Version</w:t>
            </w:r>
          </w:p>
        </w:tc>
        <w:tc>
          <w:tcPr>
            <w:tcW w:type="dxa" w:w="74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Summary</w:t>
            </w:r>
          </w:p>
        </w:tc>
      </w:tr>
      <w:tr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1.0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Initial PRD, written to document v1 (shipped) and v2 (designed, pending backend access) — this PRD was written after v1 was built and validated, not before, and reflects the actual implementation rather than a forward-looking spec alone.</w:t>
            </w:r>
          </w:p>
        </w:tc>
      </w:tr>
      <w:tr>
        <w:tc>
          <w:tcPr>
            <w:tcW w:type="dxa" w:w="16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1.1</w:t>
            </w:r>
          </w:p>
        </w:tc>
        <w:tc>
          <w:tcPr>
            <w:tcW w:type="dxa" w:w="74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Updated after a two-pass rule-engine expansion (separate session, frontend-only): signal count grew from ~35 to 65+, pickX() functions from ~30 to 45, spanning 8 new use-case domains, a directional cost estimator, a semantic-routing/guardrail-service dimension, and governance/security dimensions. Also new: a 12-file RAG knowledge-base corpus (docs/use-case-knowledge-base/) and a 21-case retrieval evaluation set. Section counts (16) and the core client-side-only architecture (NFR-5) are unchanged.</w:t>
            </w:r>
          </w:p>
        </w:tc>
      </w:tr>
      <w:tr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1.2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v2 backend built and tested in a later session (FastAPI + Postgres + Alembic; share links, /api/refine, /api/ask, and the MCP tool wrapper — FR-27/28/29 all shipped, /api/refine and /api/ask grounded in the 1.1 RAG corpus). Updated Section 7.7, 9.2, and the Release Plan (Section 11) to reflect that; no functional requirement content changed, only status.</w:t>
            </w:r>
          </w:p>
        </w:tc>
      </w:tr>
      <w:tr>
        <w:tc>
          <w:tcPr>
            <w:tcW w:type="dxa" w:w="16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1.3</w:t>
            </w:r>
          </w:p>
        </w:tc>
        <w:tc>
          <w:tcPr>
            <w:tcW w:type="dxa" w:w="74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Found via a documentation-vs-code validation pass: FR-27–29 marked "Shipped" based on the backend alone, without ever stating whether index.html actually called those endpoints — for a real stretch of this project it didn't (confirmed by grep: zero fetch() calls). Rewrote Section 7.7 to state both layers explicitly, added FR-27a (independent ask), FR-30 (why-this-pick signal inspection), and FR-31 (real cost display) — all shipped but previously undocumented. Corrected the Release Plan's stale "44 passing tests" to the actual 93 (verified via a live pytest run, not the prior static count).</w:t>
            </w:r>
          </w:p>
        </w:tc>
      </w:tr>
      <w:tr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1.4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Resolved Open Questions in Section 13 (target segment hypothesis, telemetry privacy policy, low-overhead feedback mechanism) and formalized Flow View as FR-31a with cross-reference to v1.5 Release Plan.</w:t>
            </w:r>
          </w:p>
        </w:tc>
      </w:tr>
    </w:tbl>
    <w:p>
      <w:pPr>
        <w:pStyle w:val="Heading1"/>
        <w:pBdr>
          <w:bottom w:val="single" w:color="1F3B57" w:sz="6" w:space="4"/>
        </w:pBdr>
        <w:spacing w:after="160" w:before="360"/>
      </w:pPr>
      <w:r>
        <w:rPr>
          <w:b/>
          <w:bCs/>
          <w:color w:val="1F3B57"/>
          <w:sz w:val="30"/>
          <w:szCs w:val="30"/>
        </w:rPr>
        <w:t xml:space="preserve">2. Product Overview</w:t>
      </w:r>
    </w:p>
    <w:p>
      <w:pPr>
        <w:spacing w:after="160" w:line="276"/>
      </w:pPr>
      <w:r>
        <w:rPr>
          <w:sz w:val="21"/>
          <w:szCs w:val="21"/>
        </w:rPr>
        <w:t xml:space="preserve">AI Stack Advisor is a single-page web application. A user pastes a free-text description of their product or business requirement; the application detects signals in that text across 65+ dimensions (industry, scale, compliance, latency, data type, team size, existing vendor commitments, and more) and renders a full architecture recommendation organized into 16 navigable sections, covering both traditional infrastructure decisions and AI-native decisions.</w:t>
      </w:r>
    </w:p>
    <w:p>
      <w:pPr>
        <w:spacing w:after="160" w:line="276"/>
      </w:pPr>
      <w:r>
        <w:rPr>
          <w:sz w:val="21"/>
          <w:szCs w:val="21"/>
        </w:rPr>
        <w:t xml:space="preserve">v1 runs entirely client-side: a JavaScript rule engine embedded in a single HTML file, with no server, no API calls, and no data leaving the browser. v2 adds an optional backend for LLM-assisted refinement of ambiguous cases (grounded in a RAG knowledge-base corpus), persistence via share links, and an MCP tool wrapper for use from Claude Desktop/Code — all shipped.</w:t>
      </w:r>
    </w:p>
    <w:p>
      <w:pPr>
        <w:pStyle w:val="Heading1"/>
        <w:pBdr>
          <w:bottom w:val="single" w:color="1F3B57" w:sz="6" w:space="4"/>
        </w:pBdr>
        <w:spacing w:after="160" w:before="360"/>
      </w:pPr>
      <w:r>
        <w:rPr>
          <w:b/>
          <w:bCs/>
          <w:color w:val="1F3B57"/>
          <w:sz w:val="30"/>
          <w:szCs w:val="30"/>
        </w:rPr>
        <w:t xml:space="preserve">3. Problem Statement</w:t>
      </w:r>
    </w:p>
    <w:p>
      <w:pPr>
        <w:spacing w:after="160" w:line="276"/>
      </w:pPr>
      <w:r>
        <w:rPr>
          <w:sz w:val="21"/>
          <w:szCs w:val="21"/>
        </w:rPr>
        <w:t xml:space="preserve">See BRD Section 3 for the full business framing. In product terms: a user with a business requirement in their head has no fast way to translate it into a concrete, defensible technology and AI architecture without either (a) already having architect-level expertise across infrastructure, application design, and AI systems simultaneously, or (b) spending days researching and cross-referencing trade-offs manually.</w:t>
      </w:r>
    </w:p>
    <w:p>
      <w:pPr>
        <w:pStyle w:val="Heading1"/>
        <w:pBdr>
          <w:bottom w:val="single" w:color="1F3B57" w:sz="6" w:space="4"/>
        </w:pBdr>
        <w:spacing w:after="160" w:before="360"/>
      </w:pPr>
      <w:r>
        <w:rPr>
          <w:b/>
          <w:bCs/>
          <w:color w:val="1F3B57"/>
          <w:sz w:val="30"/>
          <w:szCs w:val="30"/>
        </w:rPr>
        <w:t xml:space="preserve">4. Goals &amp; Non-Goals</w:t>
      </w:r>
    </w:p>
    <w:p>
      <w:pPr>
        <w:pStyle w:val="Heading2"/>
        <w:spacing w:after="120" w:before="280"/>
      </w:pPr>
      <w:r>
        <w:rPr>
          <w:b/>
          <w:bCs/>
          <w:color w:val="2E5C8A"/>
          <w:sz w:val="24"/>
          <w:szCs w:val="24"/>
        </w:rPr>
        <w:t xml:space="preserve">4.1 Goals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sz w:val="21"/>
          <w:szCs w:val="21"/>
        </w:rPr>
        <w:t xml:space="preserve">Zero-friction input: a single free-text field, no wizard, no required structured fields.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sz w:val="21"/>
          <w:szCs w:val="21"/>
        </w:rPr>
        <w:t xml:space="preserve">Complete-in-one-pass output: every major architecture decision category answered in a single analysis, not a multi-step flow.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sz w:val="21"/>
          <w:szCs w:val="21"/>
        </w:rPr>
        <w:t xml:space="preserve">Transparent reasoning: every recommendation states why, and every head-to-head trade-off states when to switch.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sz w:val="21"/>
          <w:szCs w:val="21"/>
        </w:rPr>
        <w:t xml:space="preserve">Honest uncertainty: confidence badges distinguish signal-driven recommendations from defaults.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sz w:val="21"/>
          <w:szCs w:val="21"/>
        </w:rPr>
        <w:t xml:space="preserve">AI-native depth: LLM sizing, RAG taxonomy, hosting, guardrails, and MCP are first-class sections, not an afterthought bolted onto a generic web-stack tool.</w:t>
      </w:r>
    </w:p>
    <w:p>
      <w:pPr>
        <w:pStyle w:val="Heading2"/>
        <w:spacing w:after="120" w:before="280"/>
      </w:pPr>
      <w:r>
        <w:rPr>
          <w:b/>
          <w:bCs/>
          <w:color w:val="2E5C8A"/>
          <w:sz w:val="24"/>
          <w:szCs w:val="24"/>
        </w:rPr>
        <w:t xml:space="preserve">4.2 Non-Goals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sz w:val="21"/>
          <w:szCs w:val="21"/>
        </w:rPr>
        <w:t xml:space="preserve">Not an infrastructure provisioning tool — never executes changes, only recommends.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sz w:val="21"/>
          <w:szCs w:val="21"/>
        </w:rPr>
        <w:t xml:space="preserve">Not a benchmarked "ground truth" tool — v1 has not been validated against expert architect judgment at scale, only against internally crafted test scenarios (see Section 12).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sz w:val="21"/>
          <w:szCs w:val="21"/>
        </w:rPr>
        <w:t xml:space="preserve">Not (yet) a multi-user collaborative product — no accounts, no shared workspaces in v1 or v2.</w:t>
      </w:r>
    </w:p>
    <w:p>
      <w:pPr>
        <w:pStyle w:val="Heading1"/>
        <w:pBdr>
          <w:bottom w:val="single" w:color="1F3B57" w:sz="6" w:space="4"/>
        </w:pBdr>
        <w:spacing w:after="160" w:before="360"/>
      </w:pPr>
      <w:r>
        <w:rPr>
          <w:b/>
          <w:bCs/>
          <w:color w:val="1F3B57"/>
          <w:sz w:val="30"/>
          <w:szCs w:val="30"/>
        </w:rPr>
        <w:t xml:space="preserve">5. Target Users &amp; Personas</w:t>
      </w:r>
    </w:p>
    <w:p>
      <w:pPr>
        <w:spacing w:after="160" w:line="276"/>
      </w:pPr>
      <w:r>
        <w:rPr>
          <w:sz w:val="21"/>
          <w:szCs w:val="21"/>
        </w:rPr>
        <w:t xml:space="preserve">The product explicitly frames its output as synthesizing six professional perspectives; each stack recommendation is tagged with the role that would typically own that decision. These are not separate personas of the tool's users — they describe whose judgment the tool is trying to approximate for a user who may not have access to all six.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Perspective</w:t>
            </w:r>
          </w:p>
        </w:tc>
        <w:tc>
          <w:tcPr>
            <w:tcW w:type="dxa" w:w="64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Typically owns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Enterprise Architect</w:t>
            </w:r>
          </w:p>
        </w:tc>
        <w:tc>
          <w:tcPr>
            <w:tcW w:type="dxa" w:w="6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Cloud provider, IAM, service mesh</w:t>
            </w:r>
          </w:p>
        </w:tc>
      </w:tr>
      <w:tr>
        <w:tc>
          <w:tcPr>
            <w:tcW w:type="dxa" w:w="26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Solution Architect</w:t>
            </w:r>
          </w:p>
        </w:tc>
        <w:tc>
          <w:tcPr>
            <w:tcW w:type="dxa" w:w="64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API gateway/edge, architecture style, compute model, DNS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Application Architect</w:t>
            </w:r>
          </w:p>
        </w:tc>
        <w:tc>
          <w:tcPr>
            <w:tcW w:type="dxa" w:w="6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Languages, messaging, database, frontend</w:t>
            </w:r>
          </w:p>
        </w:tc>
      </w:tr>
      <w:tr>
        <w:tc>
          <w:tcPr>
            <w:tcW w:type="dxa" w:w="26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AI Architect</w:t>
            </w:r>
          </w:p>
        </w:tc>
        <w:tc>
          <w:tcPr>
            <w:tcW w:type="dxa" w:w="64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LLM selection, model orchestration, RAG, guardrails, MCP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SDE</w:t>
            </w:r>
          </w:p>
        </w:tc>
        <w:tc>
          <w:tcPr>
            <w:tcW w:type="dxa" w:w="6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Caching, containers, CI/CD, concurrency/throughput</w:t>
            </w:r>
          </w:p>
        </w:tc>
      </w:tr>
      <w:tr>
        <w:tc>
          <w:tcPr>
            <w:tcW w:type="dxa" w:w="26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TPM</w:t>
            </w:r>
          </w:p>
        </w:tc>
        <w:tc>
          <w:tcPr>
            <w:tcW w:type="dxa" w:w="64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Observability ownership (shared with SDE), governance (KRA/KPI/SLA/reliability)</w:t>
            </w:r>
          </w:p>
        </w:tc>
      </w:tr>
    </w:tbl>
    <w:p>
      <w:pPr>
        <w:spacing w:after="160" w:line="276"/>
      </w:pPr>
      <w:r>
        <w:rPr>
          <w:sz w:val="21"/>
          <w:szCs w:val="21"/>
        </w:rPr>
        <w:t xml:space="preserve">The actual end-user segments (who opens the tool) are addressed in BRD Section 5 and remain an open commitment — non-technical founder, developer/technical founder, and enterprise architect/TPM are the three candidate segments, each requiring a different depth/hand-holding balance this PRD does not yet resolve.</w:t>
      </w:r>
    </w:p>
    <w:p>
      <w:pPr>
        <w:pStyle w:val="Heading1"/>
        <w:pBdr>
          <w:bottom w:val="single" w:color="1F3B57" w:sz="6" w:space="4"/>
        </w:pBdr>
        <w:spacing w:after="160" w:before="360"/>
      </w:pPr>
      <w:r>
        <w:rPr>
          <w:b/>
          <w:bCs/>
          <w:color w:val="1F3B57"/>
          <w:sz w:val="30"/>
          <w:szCs w:val="30"/>
        </w:rPr>
        <w:t xml:space="preserve">6. User Stories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400"/>
        <w:gridCol w:w="3000"/>
      </w:tblGrid>
      <w:tr>
        <w:trPr>
          <w:tblHeader/>
        </w:trPr>
        <w:tc>
          <w:tcPr>
            <w:tcW w:type="dxa" w:w="26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As a...</w:t>
            </w:r>
          </w:p>
        </w:tc>
        <w:tc>
          <w:tcPr>
            <w:tcW w:type="dxa" w:w="34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 want...</w:t>
            </w:r>
          </w:p>
        </w:tc>
        <w:tc>
          <w:tcPr>
            <w:tcW w:type="dxa" w:w="30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So that...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As a solo founder scoping an MVP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 want a stack recommendation from one paragraph of description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so that I don't need to hire an architect before writing my first line of code.</w:t>
            </w:r>
          </w:p>
        </w:tc>
      </w:tr>
      <w:tr>
        <w:tc>
          <w:tcPr>
            <w:tcW w:type="dxa" w:w="26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As a developer evaluating Kafka vs. a managed queue</w:t>
            </w:r>
          </w:p>
        </w:tc>
        <w:tc>
          <w:tcPr>
            <w:tcW w:type="dxa" w:w="34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 want the tool to tell me not just what to pick but exactly when I'd need to switch</w:t>
            </w:r>
          </w:p>
        </w:tc>
        <w:tc>
          <w:tcPr>
            <w:tcW w:type="dxa" w:w="3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so that I can defer the decision confidently instead of over-engineering on day one.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As an AI product builder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 want guidance on LLM size, RAG pattern, and guardrail placement specific to my use case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so that I don't have to separately research 14 RAG variants and cross-reference them against my compliance needs.</w:t>
            </w:r>
          </w:p>
        </w:tc>
      </w:tr>
      <w:tr>
        <w:tc>
          <w:tcPr>
            <w:tcW w:type="dxa" w:w="26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As an engineer in a regulated/air-gapped environment</w:t>
            </w:r>
          </w:p>
        </w:tc>
        <w:tc>
          <w:tcPr>
            <w:tcW w:type="dxa" w:w="34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 want the tool to recognize that constraint and never recommend a public-cloud service</w:t>
            </w:r>
          </w:p>
        </w:tc>
        <w:tc>
          <w:tcPr>
            <w:tcW w:type="dxa" w:w="3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so that I can trust the output enough to act on it without re-checking every line.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As a TPM setting up a new service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 want starter KRA/KPI/SLA targets tailored to my project's risk profile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so that I have a first draft to negotiate with stakeholders instead of starting from a blank page.</w:t>
            </w:r>
          </w:p>
        </w:tc>
      </w:tr>
    </w:tbl>
    <w:p>
      <w:pPr>
        <w:pStyle w:val="Heading1"/>
        <w:pBdr>
          <w:bottom w:val="single" w:color="1F3B57" w:sz="6" w:space="4"/>
        </w:pBdr>
        <w:spacing w:after="160" w:before="360"/>
      </w:pPr>
      <w:r>
        <w:rPr>
          <w:b/>
          <w:bCs/>
          <w:color w:val="1F3B57"/>
          <w:sz w:val="30"/>
          <w:szCs w:val="30"/>
        </w:rPr>
        <w:t xml:space="preserve">7. Functional Requirements</w:t>
      </w:r>
    </w:p>
    <w:p>
      <w:pPr>
        <w:spacing w:after="160" w:line="276"/>
      </w:pPr>
      <w:r>
        <w:rPr>
          <w:sz w:val="21"/>
          <w:szCs w:val="21"/>
        </w:rPr>
        <w:t xml:space="preserve">Grouped by module. Each row reflects what is actually implemented in v1 unless marked otherwise.</w:t>
      </w:r>
    </w:p>
    <w:p>
      <w:pPr>
        <w:pStyle w:val="Heading2"/>
        <w:spacing w:after="120" w:before="280"/>
      </w:pPr>
      <w:r>
        <w:rPr>
          <w:b/>
          <w:bCs/>
          <w:color w:val="2E5C8A"/>
          <w:sz w:val="24"/>
          <w:szCs w:val="24"/>
        </w:rPr>
        <w:t xml:space="preserve">7.1 Input &amp; Signal Detection</w:t>
      </w:r>
    </w:p>
    <w:tbl>
      <w:tblPr>
        <w:tblW w:type="dxa" w:w="8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7400"/>
      </w:tblGrid>
      <w:tr>
        <w:trPr>
          <w:tblHeader/>
        </w:trPr>
        <w:tc>
          <w:tcPr>
            <w:tcW w:type="dxa" w:w="10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74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Requirement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FR-1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Accept free-text business/product requirement input via a single textarea; no required structured fields.</w:t>
            </w:r>
          </w:p>
        </w:tc>
      </w:tr>
      <w:tr>
        <w:tc>
          <w:tcPr>
            <w:tcW w:type="dxa" w:w="1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FR-2</w:t>
            </w:r>
          </w:p>
        </w:tc>
        <w:tc>
          <w:tcPr>
            <w:tcW w:type="dxa" w:w="74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Provide five one-click example scenarios spanning fintech, healthcare, e-commerce, enterprise, and early-stage MVP profiles.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FR-3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Detect 65+ signal dimensions from the input text (industry, scale, compliance, latency, data type, team size, cloud vendor mentions, language mentions, and more) via keyword and pattern matching.</w:t>
            </w:r>
          </w:p>
        </w:tc>
      </w:tr>
      <w:tr>
        <w:tc>
          <w:tcPr>
            <w:tcW w:type="dxa" w:w="1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FR-4</w:t>
            </w:r>
          </w:p>
        </w:tc>
        <w:tc>
          <w:tcPr>
            <w:tcW w:type="dxa" w:w="74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Strip short negated clauses ("no compliance requirements", "don't need X") before signal matching, so stated non-requirements are not read as requirements.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FR-5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Detect on-premises/air-gapped/no-public-cloud requirements from raw (non-negation-stripped) text, since these are phrased using negation words that are themselves the requirement.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2E5C8A"/>
          <w:sz w:val="24"/>
          <w:szCs w:val="24"/>
        </w:rPr>
        <w:t xml:space="preserve">7.2 Core Technical Stack (15 categories)</w:t>
      </w:r>
    </w:p>
    <w:p>
      <w:pPr>
        <w:spacing w:after="160" w:line="276"/>
      </w:pPr>
      <w:r>
        <w:rPr>
          <w:sz w:val="21"/>
          <w:szCs w:val="21"/>
        </w:rPr>
        <w:t xml:space="preserve">Cloud provider, API gateway/edge, IAM, backend language(s), architecture style, compute model, messaging/streaming, service mesh, caching, primary database(s), containers/orchestration, observability, frontend, CI/CD &amp; deployment, DNS.</w:t>
      </w:r>
    </w:p>
    <w:tbl>
      <w:tblPr>
        <w:tblW w:type="dxa" w:w="8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7400"/>
      </w:tblGrid>
      <w:tr>
        <w:trPr>
          <w:tblHeader/>
        </w:trPr>
        <w:tc>
          <w:tcPr>
            <w:tcW w:type="dxa" w:w="10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74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Requirement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FR-6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Each of the 15 stack categories must return a recommendation, a plain-language rationale, a confidence rating (High/Medium/Low), and the architect role that typically owns that decision.</w:t>
            </w:r>
          </w:p>
        </w:tc>
      </w:tr>
      <w:tr>
        <w:tc>
          <w:tcPr>
            <w:tcW w:type="dxa" w:w="1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FR-7</w:t>
            </w:r>
          </w:p>
        </w:tc>
        <w:tc>
          <w:tcPr>
            <w:tcW w:type="dxa" w:w="74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On-premises/air-gapped detection (FR-5) must override the default recommendation in every category where a public-cloud service would otherwise be suggested (cloud, gateway, compute, containers, observability, CI/CD, DNS).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FR-8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Analytics/ETL-heavy workloads without a transactional, chat, or RAG signal must be routed to a data-warehouse recommendation (BigQuery/Snowflake/Redshift) rather than a general-purpose OLTP database.</w:t>
            </w:r>
          </w:p>
        </w:tc>
      </w:tr>
      <w:tr>
        <w:tc>
          <w:tcPr>
            <w:tcW w:type="dxa" w:w="1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FR-9</w:t>
            </w:r>
          </w:p>
        </w:tc>
        <w:tc>
          <w:tcPr>
            <w:tcW w:type="dxa" w:w="74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Conflicting signals (e.g. a small team combined with high-scale/enterprise requirements) must resolve to a stated middle-ground recommendation with the conflict acknowledged in the rationale, not a recommendation whose own justification contradicts part of the input.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2E5C8A"/>
          <w:sz w:val="24"/>
          <w:szCs w:val="24"/>
        </w:rPr>
        <w:t xml:space="preserve">7.3 Key Trade-off Decisions</w:t>
      </w:r>
    </w:p>
    <w:tbl>
      <w:tblPr>
        <w:tblW w:type="dxa" w:w="8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7400"/>
      </w:tblGrid>
      <w:tr>
        <w:trPr>
          <w:tblHeader/>
        </w:trPr>
        <w:tc>
          <w:tcPr>
            <w:tcW w:type="dxa" w:w="10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74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Requirement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FR-10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Provide explicit head-to-head recommendations for: single-cloud vs. multi-cloud, Terraform vs. Pulumi/CDK/native IaC, Kafka vs. Pub/Sub vs. managed queue, and Kubernetes vs. serverless.</w:t>
            </w:r>
          </w:p>
        </w:tc>
      </w:tr>
      <w:tr>
        <w:tc>
          <w:tcPr>
            <w:tcW w:type="dxa" w:w="1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FR-11</w:t>
            </w:r>
          </w:p>
        </w:tc>
        <w:tc>
          <w:tcPr>
            <w:tcW w:type="dxa" w:w="74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Each trade-off must state the recommendation, why, and an explicit "switch when" condition describing the trigger for reconsidering.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FR-12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On-premises detection must override the cloud-strategy trade-off entirely, replacing the single-vs-multi-cloud question with a public-cloud-vs-on-premises framing.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2E5C8A"/>
          <w:sz w:val="24"/>
          <w:szCs w:val="24"/>
        </w:rPr>
        <w:t xml:space="preserve">7.4 AI / LLM Strategy</w:t>
      </w:r>
    </w:p>
    <w:tbl>
      <w:tblPr>
        <w:tblW w:type="dxa" w:w="8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7400"/>
      </w:tblGrid>
      <w:tr>
        <w:trPr>
          <w:tblHeader/>
        </w:trPr>
        <w:tc>
          <w:tcPr>
            <w:tcW w:type="dxa" w:w="10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74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Requirement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FR-13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Recommend single-model vs. multi-model orchestration strategy, with a standing task-to-model mapping table (reasoning/design, code generation, classification/routing, RAG synthesis, agent orchestration).</w:t>
            </w:r>
          </w:p>
        </w:tc>
      </w:tr>
      <w:tr>
        <w:tc>
          <w:tcPr>
            <w:tcW w:type="dxa" w:w="1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FR-14</w:t>
            </w:r>
          </w:p>
        </w:tc>
        <w:tc>
          <w:tcPr>
            <w:tcW w:type="dxa" w:w="74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Recommend local vs. cloud model hosting based on budget and security/compliance signals, including a stated cost-crossover heuristic.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FR-15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Provide a VRAM sizing reference table (4B/12B/30B/70B+ tiers, fp16 and int4-quantized footprints, typical GPU, notes) with the tier suited to the user's inputs highlighted.</w:t>
            </w:r>
          </w:p>
        </w:tc>
      </w:tr>
      <w:tr>
        <w:tc>
          <w:tcPr>
            <w:tcW w:type="dxa" w:w="1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FR-16</w:t>
            </w:r>
          </w:p>
        </w:tc>
        <w:tc>
          <w:tcPr>
            <w:tcW w:type="dxa" w:w="74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Recommend interface topology (hybrid / distributed / mesh, each defined in-product) separately for the LLM serving layer and the RAG/retrieval layer.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FR-17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Recommend MCP vs. direct API integration, with the reuse/multi-client condition that should trigger adopting MCP.</w:t>
            </w:r>
          </w:p>
        </w:tc>
      </w:tr>
      <w:tr>
        <w:tc>
          <w:tcPr>
            <w:tcW w:type="dxa" w:w="1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FR-18</w:t>
            </w:r>
          </w:p>
        </w:tc>
        <w:tc>
          <w:tcPr>
            <w:tcW w:type="dxa" w:w="74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Recommend a RAG architecture from a 14-variant taxonomy, or explicitly state that RAG is not required, including the specific case where retrieval should target structured/SQL data instead of a vector store.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FR-19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State explicitly where the vector database sits in the pipeline (or that none is required), and recommend a specific vector store choice based on existing database investment and scale.</w:t>
            </w:r>
          </w:p>
        </w:tc>
      </w:tr>
      <w:tr>
        <w:tc>
          <w:tcPr>
            <w:tcW w:type="dxa" w:w="1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FR-20</w:t>
            </w:r>
          </w:p>
        </w:tc>
        <w:tc>
          <w:tcPr>
            <w:tcW w:type="dxa" w:w="74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Recommend guardrails as a 5-stage pipeline (input, retrieval/tool-call, in-flight generation, output, post-hoc evals/monitoring) — never input/output only.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2E5C8A"/>
          <w:sz w:val="24"/>
          <w:szCs w:val="24"/>
        </w:rPr>
        <w:t xml:space="preserve">7.5 Cost, Throughput &amp; Governance</w:t>
      </w:r>
    </w:p>
    <w:tbl>
      <w:tblPr>
        <w:tblW w:type="dxa" w:w="8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7400"/>
      </w:tblGrid>
      <w:tr>
        <w:trPr>
          <w:tblHeader/>
        </w:trPr>
        <w:tc>
          <w:tcPr>
            <w:tcW w:type="dxa" w:w="10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74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Requirement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FR-21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Provide cost/resource optimization recommendations (compute right-sizing, reserved vs. spot capacity, storage tiering, LLM cost routing, caching, FinOps tagging).</w:t>
            </w:r>
          </w:p>
        </w:tc>
      </w:tr>
      <w:tr>
        <w:tc>
          <w:tcPr>
            <w:tcW w:type="dxa" w:w="1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FR-22</w:t>
            </w:r>
          </w:p>
        </w:tc>
        <w:tc>
          <w:tcPr>
            <w:tcW w:type="dxa" w:w="74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Provide concurrency/throughput recommendations (async I/O, connection pooling, autoscaling strategy, read replicas, CDN, backpressure, response streaming, circuit breakers).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FR-23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Provide governance targets across four categories — KRA, KPI, SLA, and reliability/continuous-improvement (MTTD/MTTR, postmortem cadence, error-budget policy) — tuned by the same input signals as the rest of the output, with an explicit disclaimer that these are starting-point defaults, not commitments.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2E5C8A"/>
          <w:sz w:val="24"/>
          <w:szCs w:val="24"/>
        </w:rPr>
        <w:t xml:space="preserve">7.6 Navigation &amp; Presentation</w:t>
      </w:r>
    </w:p>
    <w:tbl>
      <w:tblPr>
        <w:tblW w:type="dxa" w:w="8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7400"/>
      </w:tblGrid>
      <w:tr>
        <w:trPr>
          <w:tblHeader/>
        </w:trPr>
        <w:tc>
          <w:tcPr>
            <w:tcW w:type="dxa" w:w="10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74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Requirement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FR-24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Provide a sticky navigation bar with jump-links to all 16 result sections.</w:t>
            </w:r>
          </w:p>
        </w:tc>
      </w:tr>
      <w:tr>
        <w:tc>
          <w:tcPr>
            <w:tcW w:type="dxa" w:w="1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FR-25</w:t>
            </w:r>
          </w:p>
        </w:tc>
        <w:tc>
          <w:tcPr>
            <w:tcW w:type="dxa" w:w="74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Render each result section as an independently collapsible element, defaulting to open, with a single Collapse All / Expand All control.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FR-26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Display all detected input signals as a visible chip list before the recommendation sections, so the user can see what drove the output.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2E5C8A"/>
          <w:sz w:val="24"/>
          <w:szCs w:val="24"/>
        </w:rPr>
        <w:t xml:space="preserve">7.7 v2 — Shipped</w:t>
      </w:r>
    </w:p>
    <w:p>
      <w:pPr>
        <w:spacing w:after="160" w:line="276"/>
      </w:pPr>
      <w:r>
        <w:rPr>
          <w:i/>
          <w:iCs/>
          <w:color w:val="5B6B7C"/>
          <w:sz w:val="19"/>
          <w:szCs w:val="19"/>
        </w:rPr>
        <w:t xml:space="preserve">"Shipped" below means both layers: the backend endpoint is built and tested, AND index.html has a real, clickable UI element wired to call it. Earlier revisions of this table only asserted the first layer — for a stretch of this project's history the backend was fully shipped while index.html had zero fetch() calls to it at all. That gap is closed as of the guided-mode + backend-wiring milestone; both are true now.</w:t>
      </w:r>
    </w:p>
    <w:tbl>
      <w:tblPr>
        <w:tblW w:type="dxa" w:w="8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5600"/>
        <w:gridCol w:w="1800"/>
      </w:tblGrid>
      <w:tr>
        <w:trPr>
          <w:tblHeader/>
        </w:trPr>
        <w:tc>
          <w:tcPr>
            <w:tcW w:type="dxa" w:w="10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56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Requirement</w:t>
            </w:r>
          </w:p>
        </w:tc>
        <w:tc>
          <w:tcPr>
            <w:tcW w:type="dxa" w:w="18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FR-27</w:t>
            </w:r>
          </w:p>
        </w:tc>
        <w:tc>
          <w:tcPr>
            <w:tcW w:type="dxa" w:w="5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An optional "Refine with AI" pass that sends the free-text input and the v1 rule-engine output to an LLM (user's own Anthropic API key) for cases where the rules are uncertain. Adjustments are only made when the model can cite a specific reason; every pass is kept, not overwritten, so the reasoning history is comparable across repeated passes.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 — POST /api/refine, per-card "✨ Refine with AI" button in index.html, refinement history retained client-side</w:t>
            </w:r>
          </w:p>
        </w:tc>
      </w:tr>
      <w:tr>
        <w:tc>
          <w:tcPr>
            <w:tcW w:type="dxa" w:w="1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FR-27a</w:t>
            </w:r>
          </w:p>
        </w:tc>
        <w:tc>
          <w:tcPr>
            <w:tcW w:type="dxa" w:w="56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Follow-up Q&amp;A scoped to a recommendation, independent of whether refine has been used on that card first.</w:t>
            </w:r>
          </w:p>
        </w:tc>
        <w:tc>
          <w:tcPr>
            <w:tcW w:type="dxa" w:w="18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 — POST /api/ask, independent "💬 Ask a question" button in index.html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FR-28</w:t>
            </w:r>
          </w:p>
        </w:tc>
        <w:tc>
          <w:tcPr>
            <w:tcW w:type="dxa" w:w="5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Share links: persist a completed analysis to a shareable URL, rendered read-only with the input form and AI buttons removed.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 — POST /api/analyses/{id}/share, "📎 Share this analysis" button, ?shared=SLUG read-only view</w:t>
            </w:r>
          </w:p>
        </w:tc>
      </w:tr>
      <w:tr>
        <w:tc>
          <w:tcPr>
            <w:tcW w:type="dxa" w:w="1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FR-29</w:t>
            </w:r>
          </w:p>
        </w:tc>
        <w:tc>
          <w:tcPr>
            <w:tcW w:type="dxa" w:w="56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MCP tool wrapper (recommend_stack(...)) callable from Claude Desktop/Code directly.</w:t>
            </w:r>
          </w:p>
        </w:tc>
        <w:tc>
          <w:tcPr>
            <w:tcW w:type="dxa" w:w="18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FR-30</w:t>
            </w:r>
          </w:p>
        </w:tc>
        <w:tc>
          <w:tcPr>
            <w:tcW w:type="dxa" w:w="5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Show which specific detected signals drove each stack card's recommendation, not just a confidence badge, so the "why" is inspectable per pick rather than only stated as prose.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 — client-side only, no backend dependency</w:t>
            </w:r>
          </w:p>
        </w:tc>
      </w:tr>
      <w:tr>
        <w:tc>
          <w:tcPr>
            <w:tcW w:type="dxa" w:w="1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FR-31</w:t>
            </w:r>
          </w:p>
        </w:tc>
        <w:tc>
          <w:tcPr>
            <w:tcW w:type="dxa" w:w="56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Show real LLM token cost (from the Anthropic response) alongside the existing directional cost estimate once a refine/ask call has been made.</w:t>
            </w:r>
          </w:p>
        </w:tc>
        <w:tc>
          <w:tcPr>
            <w:tcW w:type="dxa" w:w="18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 — backend returns real usage from message.usage; not persisted to any table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FR-31a</w:t>
            </w:r>
          </w:p>
        </w:tc>
        <w:tc>
          <w:tcPr>
            <w:tcW w:type="dxa" w:w="5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Flow View: interactive node-canvas visualization of the architecture recommendation (pan/zoom canvas, minimap, tier-colored nodes) as an alternate to the 16-section card view. Cross-references Release Plan v1.5.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 — client-side only, no backend dependency</w:t>
            </w:r>
          </w:p>
        </w:tc>
      </w:tr>
    </w:tbl>
    <w:p>
      <w:pPr>
        <w:pStyle w:val="Heading1"/>
        <w:pBdr>
          <w:bottom w:val="single" w:color="1F3B57" w:sz="6" w:space="4"/>
        </w:pBdr>
        <w:spacing w:after="160" w:before="360"/>
      </w:pPr>
      <w:r>
        <w:rPr>
          <w:b/>
          <w:bCs/>
          <w:color w:val="1F3B57"/>
          <w:sz w:val="30"/>
          <w:szCs w:val="30"/>
        </w:rPr>
        <w:t xml:space="preserve">8. Non-Functional Requirements</w:t>
      </w:r>
    </w:p>
    <w:tbl>
      <w:tblPr>
        <w:tblW w:type="dxa" w:w="8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7400"/>
      </w:tblGrid>
      <w:tr>
        <w:trPr>
          <w:tblHeader/>
        </w:trPr>
        <w:tc>
          <w:tcPr>
            <w:tcW w:type="dxa" w:w="10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74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Requirement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NFR-1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v1 must run entirely client-side with zero external network calls, so no user input ever leaves the browser.</w:t>
            </w:r>
          </w:p>
        </w:tc>
      </w:tr>
      <w:tr>
        <w:tc>
          <w:tcPr>
            <w:tcW w:type="dxa" w:w="1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NFR-2</w:t>
            </w:r>
          </w:p>
        </w:tc>
        <w:tc>
          <w:tcPr>
            <w:tcW w:type="dxa" w:w="74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Analysis must render synchronously with no perceptible delay (rule engine, not an LLM call) — this is a deliberate differentiator from LLM-generation-based competitors.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NFR-3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The page must remain usable at 16+ result sections via the navigation/collapse features in FR-24/FR-25 rather than requiring a redesign as scope grows.</w:t>
            </w:r>
          </w:p>
        </w:tc>
      </w:tr>
      <w:tr>
        <w:tc>
          <w:tcPr>
            <w:tcW w:type="dxa" w:w="1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NFR-4</w:t>
            </w:r>
          </w:p>
        </w:tc>
        <w:tc>
          <w:tcPr>
            <w:tcW w:type="dxa" w:w="74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The tool must never claim higher certainty than its signal detection supports — every recommendation carries a confidence rating (NFR extension of FR-6), and defaults are visually distinct (Low confidence) from signal-driven picks (High/Medium).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NFR-5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v2's optional backend features must degrade gracefully — the client-side experience (v1) must remain fully functional if the backend is unavailable or the user has no API key.</w:t>
            </w:r>
          </w:p>
        </w:tc>
      </w:tr>
    </w:tbl>
    <w:p>
      <w:pPr>
        <w:pStyle w:val="Heading1"/>
        <w:pBdr>
          <w:bottom w:val="single" w:color="1F3B57" w:sz="6" w:space="4"/>
        </w:pBdr>
        <w:spacing w:after="160" w:before="360"/>
      </w:pPr>
      <w:r>
        <w:rPr>
          <w:b/>
          <w:bCs/>
          <w:color w:val="1F3B57"/>
          <w:sz w:val="30"/>
          <w:szCs w:val="30"/>
        </w:rPr>
        <w:t xml:space="preserve">9. System Architecture</w:t>
      </w:r>
    </w:p>
    <w:p>
      <w:pPr>
        <w:pStyle w:val="Heading2"/>
        <w:spacing w:after="120" w:before="280"/>
      </w:pPr>
      <w:r>
        <w:rPr>
          <w:b/>
          <w:bCs/>
          <w:color w:val="2E5C8A"/>
          <w:sz w:val="24"/>
          <w:szCs w:val="24"/>
        </w:rPr>
        <w:t xml:space="preserve">9.1 v1 — As Built</w:t>
      </w:r>
    </w:p>
    <w:p>
      <w:pPr>
        <w:spacing w:after="160" w:line="276"/>
      </w:pPr>
      <w:r>
        <w:rPr>
          <w:sz w:val="21"/>
          <w:szCs w:val="21"/>
        </w:rPr>
        <w:t xml:space="preserve">A single self-contained HTML file. A JavaScript rule engine (detectSignals() plus 45 pickX() functions, one per recommendation category) runs synchronously in the browser on form submit. No build step, no framework, no dependencies — chosen deliberately for a tool at this stage of validation, where operational simplicity matters more than the marginal benefit a framework would add (see BRD Section 3.3 differentiation on "zero cost to run").</w:t>
      </w:r>
    </w:p>
    <w:p>
      <w:pPr>
        <w:pStyle w:val="Heading2"/>
        <w:spacing w:after="120" w:before="280"/>
      </w:pPr>
      <w:r>
        <w:rPr>
          <w:b/>
          <w:bCs/>
          <w:color w:val="2E5C8A"/>
          <w:sz w:val="24"/>
          <w:szCs w:val="24"/>
        </w:rPr>
        <w:t xml:space="preserve">9.2 v2 — Shipped</w:t>
      </w:r>
    </w:p>
    <w:p>
      <w:pPr>
        <w:spacing w:after="160" w:line="276"/>
      </w:pPr>
      <w:r>
        <w:rPr>
          <w:sz w:val="21"/>
          <w:szCs w:val="21"/>
        </w:rPr>
        <w:t xml:space="preserve">Documented in full in the companion v2 Design Document. A FastAPI backend adds two endpoints — POST /api/refine (LLM-assisted reconciliation of ambiguous rule-engine output, only overriding a v1 pick when it can cite a specific reason from the input text) and POST /api/ask (grounded follow-up Q&amp;A scoped to the current recommendation). Postgres stores shared analyses. An MCP server wraps the same logic as a callable recommend_stack(...) tool. All three require the user's own Anthropic API key, passed per-request and never stored server-side. All four pieces (share links, /api/refine, /api/ask, MCP tool) are built and tested — see backend/README.md for the running system's test suite and quickstart.</w:t>
      </w:r>
    </w:p>
    <w:p>
      <w:pPr>
        <w:pStyle w:val="Heading2"/>
        <w:spacing w:after="120" w:before="280"/>
      </w:pPr>
      <w:r>
        <w:rPr>
          <w:b/>
          <w:bCs/>
          <w:color w:val="2E5C8A"/>
          <w:sz w:val="24"/>
          <w:szCs w:val="24"/>
        </w:rPr>
        <w:t xml:space="preserve">9.3 Data Flow (v1)</w:t>
      </w:r>
    </w:p>
    <w:p>
      <w:pPr>
        <w:pStyle w:val="ListParagraph"/>
        <w:numPr>
          <w:ilvl w:val="0"/>
          <w:numId w:val="3"/>
        </w:numPr>
        <w:spacing w:after="90" w:line="264"/>
      </w:pPr>
      <w:r>
        <w:rPr>
          <w:sz w:val="21"/>
          <w:szCs w:val="21"/>
        </w:rPr>
        <w:t xml:space="preserve">User enters free text and clicks Analyze.</w:t>
      </w:r>
    </w:p>
    <w:p>
      <w:pPr>
        <w:pStyle w:val="ListParagraph"/>
        <w:numPr>
          <w:ilvl w:val="0"/>
          <w:numId w:val="3"/>
        </w:numPr>
        <w:spacing w:after="90" w:line="264"/>
      </w:pPr>
      <w:r>
        <w:rPr>
          <w:sz w:val="21"/>
          <w:szCs w:val="21"/>
        </w:rPr>
        <w:t xml:space="preserve">detectSignals(text) returns a signals object (65+ boolean/derived fields).</w:t>
      </w:r>
    </w:p>
    <w:p>
      <w:pPr>
        <w:pStyle w:val="ListParagraph"/>
        <w:numPr>
          <w:ilvl w:val="0"/>
          <w:numId w:val="3"/>
        </w:numPr>
        <w:spacing w:after="90" w:line="264"/>
      </w:pPr>
      <w:r>
        <w:rPr>
          <w:sz w:val="21"/>
          <w:szCs w:val="21"/>
        </w:rPr>
        <w:t xml:space="preserve">Each pickX(signals) function returns a recommendation, rationale, and confidence rating for its category.</w:t>
      </w:r>
    </w:p>
    <w:p>
      <w:pPr>
        <w:pStyle w:val="ListParagraph"/>
        <w:numPr>
          <w:ilvl w:val="0"/>
          <w:numId w:val="3"/>
        </w:numPr>
        <w:spacing w:after="90" w:line="264"/>
      </w:pPr>
      <w:r>
        <w:rPr>
          <w:sz w:val="21"/>
          <w:szCs w:val="21"/>
        </w:rPr>
        <w:t xml:space="preserve">The results are assembled into 16 sections, rendered into the DOM inside a sticky-nav/collapsible-section shell.</w:t>
      </w:r>
    </w:p>
    <w:p>
      <w:pPr>
        <w:pStyle w:val="ListParagraph"/>
        <w:numPr>
          <w:ilvl w:val="0"/>
          <w:numId w:val="3"/>
        </w:numPr>
        <w:spacing w:after="90" w:line="264"/>
      </w:pPr>
      <w:r>
        <w:rPr>
          <w:sz w:val="21"/>
          <w:szCs w:val="21"/>
        </w:rPr>
        <w:t xml:space="preserve">Nothing is persisted unless the user explicitly saves/shares it via v2's share-link feature; a page refresh otherwise clears all state.</w:t>
      </w:r>
    </w:p>
    <w:p>
      <w:pPr>
        <w:pStyle w:val="Heading1"/>
        <w:pBdr>
          <w:bottom w:val="single" w:color="1F3B57" w:sz="6" w:space="4"/>
        </w:pBdr>
        <w:spacing w:after="160" w:before="360"/>
      </w:pPr>
      <w:r>
        <w:rPr>
          <w:b/>
          <w:bCs/>
          <w:color w:val="1F3B57"/>
          <w:sz w:val="30"/>
          <w:szCs w:val="30"/>
        </w:rPr>
        <w:t xml:space="preserve">10. Success Metrics</w:t>
      </w:r>
    </w:p>
    <w:p>
      <w:pPr>
        <w:spacing w:after="160" w:line="276"/>
      </w:pPr>
      <w:r>
        <w:rPr>
          <w:sz w:val="21"/>
          <w:szCs w:val="21"/>
        </w:rPr>
        <w:t xml:space="preserve">See BRD Section 7 for the full metric definitions (completion rate, re-use rate, disagreement rate, segment concentration, cost per active user). No instrumentation exists yet in v1 — this is listed as an open item in Section 13.</w:t>
      </w:r>
    </w:p>
    <w:p>
      <w:pPr>
        <w:pStyle w:val="Heading1"/>
        <w:pBdr>
          <w:bottom w:val="single" w:color="1F3B57" w:sz="6" w:space="4"/>
        </w:pBdr>
        <w:spacing w:after="160" w:before="360"/>
      </w:pPr>
      <w:r>
        <w:rPr>
          <w:b/>
          <w:bCs/>
          <w:color w:val="1F3B57"/>
          <w:sz w:val="30"/>
          <w:szCs w:val="30"/>
        </w:rPr>
        <w:t xml:space="preserve">11. Release Plan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6000"/>
        <w:gridCol w:w="1800"/>
      </w:tblGrid>
      <w:tr>
        <w:trPr>
          <w:tblHeader/>
        </w:trPr>
        <w:tc>
          <w:tcPr>
            <w:tcW w:type="dxa" w:w="16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Release</w:t>
            </w:r>
          </w:p>
        </w:tc>
        <w:tc>
          <w:tcPr>
            <w:tcW w:type="dxa" w:w="60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Contents</w:t>
            </w:r>
          </w:p>
        </w:tc>
        <w:tc>
          <w:tcPr>
            <w:tcW w:type="dxa" w:w="1800"/>
            <w:shd w:fill="1F3B5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v1.0</w:t>
            </w:r>
          </w:p>
        </w:tc>
        <w:tc>
          <w:tcPr>
            <w:tcW w:type="dxa" w:w="6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Core stack (15 categories) + AI/LLM recommendation + RAG + guardrails + MCP servers needed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</w:t>
            </w:r>
          </w:p>
        </w:tc>
      </w:tr>
      <w:tr>
        <w:tc>
          <w:tcPr>
            <w:tcW w:type="dxa" w:w="16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v1.1</w:t>
            </w:r>
          </w:p>
        </w:tc>
        <w:tc>
          <w:tcPr>
            <w:tcW w:type="dxa" w:w="6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Trade-off decisions, cost/throughput, governance sections; persona tagging</w:t>
            </w:r>
          </w:p>
        </w:tc>
        <w:tc>
          <w:tcPr>
            <w:tcW w:type="dxa" w:w="18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</w:t>
            </w:r>
          </w:p>
        </w:tc>
      </w:tr>
      <w:tr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v1.2</w:t>
            </w:r>
          </w:p>
        </w:tc>
        <w:tc>
          <w:tcPr>
            <w:tcW w:type="dxa" w:w="6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AI serving/integration layer: orchestration, hosting/VRAM, topology, MCP-vs-API, guardrail pipeline, vector DB placement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</w:t>
            </w:r>
          </w:p>
        </w:tc>
      </w:tr>
      <w:tr>
        <w:tc>
          <w:tcPr>
            <w:tcW w:type="dxa" w:w="16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v1.3</w:t>
            </w:r>
          </w:p>
        </w:tc>
        <w:tc>
          <w:tcPr>
            <w:tcW w:type="dxa" w:w="6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Sticky nav + collapsible sections</w:t>
            </w:r>
          </w:p>
        </w:tc>
        <w:tc>
          <w:tcPr>
            <w:tcW w:type="dxa" w:w="18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</w:t>
            </w:r>
          </w:p>
        </w:tc>
      </w:tr>
      <w:tr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v1.4</w:t>
            </w:r>
          </w:p>
        </w:tc>
        <w:tc>
          <w:tcPr>
            <w:tcW w:type="dxa" w:w="6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Validation/QA pass — negation handling, on-prem support, warehouse detection, conflict-resolution fixes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</w:t>
            </w:r>
          </w:p>
        </w:tc>
      </w:tr>
      <w:tr>
        <w:tc>
          <w:tcPr>
            <w:tcW w:type="dxa" w:w="16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v1.5</w:t>
            </w:r>
          </w:p>
        </w:tc>
        <w:tc>
          <w:tcPr>
            <w:tcW w:type="dxa" w:w="6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Flow View: node-canvas visualization of the recommendation (n8n/Voiceflow/VectorShift-style pan/zoom/drag graph, alternate to the card view); recursive logic audit — fixed several false-positive signal matches and a same-report contradiction between the Compute Model card and the Kubernetes-vs-Serverless trade-off card</w:t>
            </w:r>
          </w:p>
        </w:tc>
        <w:tc>
          <w:tcPr>
            <w:tcW w:type="dxa" w:w="18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</w:t>
            </w:r>
          </w:p>
        </w:tc>
      </w:tr>
      <w:tr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v2.0</w:t>
            </w:r>
          </w:p>
        </w:tc>
        <w:tc>
          <w:tcPr>
            <w:tcW w:type="dxa" w:w="6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Share links, LLM refinement endpoint (/api/refine), grounded follow-up Q&amp;A (/api/ask), MCP tool wrapper (recommend_stack) — FastAPI + Postgres + Alembic backend, 93 passing/xfailed tests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</w:t>
            </w:r>
          </w:p>
        </w:tc>
      </w:tr>
      <w:tr>
        <w:tc>
          <w:tcPr>
            <w:tcW w:type="dxa" w:w="16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v2.1</w:t>
            </w:r>
          </w:p>
        </w:tc>
        <w:tc>
          <w:tcPr>
            <w:tcW w:type="dxa" w:w="60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Frontend wiring: guided-input wizard, per-card Refine/Ask buttons actually calling the v2.0 backend, share button, ?shared=SLUG read-only view, why-this-pick signal inspection, refinement-pass history, real LLM cost display</w:t>
            </w:r>
          </w:p>
        </w:tc>
        <w:tc>
          <w:tcPr>
            <w:tcW w:type="dxa" w:w="1800"/>
            <w:shd w:fill="EAF0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Shipped</w:t>
            </w:r>
          </w:p>
        </w:tc>
      </w:tr>
    </w:tbl>
    <w:p>
      <w:pPr>
        <w:pStyle w:val="Heading1"/>
        <w:pBdr>
          <w:bottom w:val="single" w:color="1F3B57" w:sz="6" w:space="4"/>
        </w:pBdr>
        <w:spacing w:after="160" w:before="360"/>
      </w:pPr>
      <w:r>
        <w:rPr>
          <w:b/>
          <w:bCs/>
          <w:color w:val="1F3B57"/>
          <w:sz w:val="30"/>
          <w:szCs w:val="30"/>
        </w:rPr>
        <w:t xml:space="preserve">12. Known Limitations</w:t>
      </w:r>
    </w:p>
    <w:p>
      <w:pPr>
        <w:spacing w:after="160" w:line="276"/>
      </w:pPr>
      <w:r>
        <w:rPr>
          <w:sz w:val="21"/>
          <w:szCs w:val="21"/>
        </w:rPr>
        <w:t xml:space="preserve">From the Validation Report and general assessment — listed explicitly so they are tracked, not discovered later: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sz w:val="21"/>
          <w:szCs w:val="21"/>
        </w:rPr>
        <w:t xml:space="preserve">Keyword/pattern matching is inherently approximate; the negation-stripping fix (FR-4) reduces but does not eliminate false-positive signal detection on unusual phrasing.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sz w:val="21"/>
          <w:szCs w:val="21"/>
        </w:rPr>
        <w:t xml:space="preserve">No benchmark exists against real expert-architect judgment — validation to date is internal scenario testing (35+ crafted scenarios across the original validation pass and the two-round expansion pass), not comparison against how senior architects would actually decide the same inputs, and not real end users.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sz w:val="21"/>
          <w:szCs w:val="21"/>
        </w:rPr>
        <w:t xml:space="preserve">The rule engine encodes a snapshot of current technology/model landscape knowledge and will drift out of date as new models, tools, and best practices emerge, with no automated update mechanism.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sz w:val="21"/>
          <w:szCs w:val="21"/>
        </w:rPr>
        <w:t xml:space="preserve">Confidence ratings reflect how much matching signal was detected, not an externally validated probability of correctness — a "High confidence" pick is high-confidence in the sense that strong signal supports it, not that it has been checked against ground truth.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sz w:val="21"/>
          <w:szCs w:val="21"/>
        </w:rPr>
        <w:t xml:space="preserve">The docs/use-case-knowledge-base/ corpus is written for RAG retrieval but has only been tested against a local TF-IDF prototype (lexical similarity), not the real embedding-based retrieval /api/refine/ask now use in production — 18/21 eval cases passed against that prototype, with one concrete finding (keyword-dense "Signals/triggers" chunks out-ranking substantive content chunks) already fed back into the ingestion guide. See docs/use-case-knowledge-base/RETRIEVAL-EVAL-SET.md.</w:t>
      </w:r>
    </w:p>
    <w:p>
      <w:pPr>
        <w:pStyle w:val="Heading1"/>
        <w:pBdr>
          <w:bottom w:val="single" w:color="1F3B57" w:sz="6" w:space="4"/>
        </w:pBdr>
        <w:spacing w:after="160" w:before="360"/>
      </w:pPr>
      <w:r>
        <w:rPr>
          <w:b/>
          <w:bCs/>
          <w:color w:val="1F3B57"/>
          <w:sz w:val="30"/>
          <w:szCs w:val="30"/>
        </w:rPr>
        <w:t xml:space="preserve">13. Open Questions</w:t>
      </w:r>
    </w:p>
    <w:p>
      <w:pPr>
        <w:pStyle w:val="ListParagraph"/>
        <w:numPr>
          <w:ilvl w:val="0"/>
          <w:numId w:val="4"/>
        </w:numPr>
        <w:spacing w:after="90" w:line="264"/>
      </w:pPr>
      <w:r>
        <w:rPr>
          <w:sz w:val="21"/>
          <w:szCs w:val="21"/>
        </w:rPr>
        <w:t xml:space="preserve">RESOLVED (v1.4): Target segment commitment — committed direction is Segment 2 (Tech Leads &amp; Staff Architects at scaling startups/SMBs) as the primary ICP, with Segment 1 (solo founders) as the frictionless on-ramp. This is a committed direction, not yet confirmed by usage — the existing Segment Concentration metric in Section 10 / BRD Section 7 is specifically what will validate or overturn this hypothesis.</w:t>
      </w:r>
    </w:p>
    <w:p>
      <w:pPr>
        <w:pStyle w:val="ListParagraph"/>
        <w:numPr>
          <w:ilvl w:val="0"/>
          <w:numId w:val="4"/>
        </w:numPr>
        <w:spacing w:after="90" w:line="264"/>
      </w:pPr>
      <w:r>
        <w:rPr>
          <w:sz w:val="21"/>
          <w:szCs w:val="21"/>
        </w:rPr>
        <w:t xml:space="preserve">RESOLVED (v1.1): a directional monthly cost estimator was added — compute/database/LLM-API bands by scale tier, with LLM cost broken out by model tier specifically. Deliberately a range, not a point estimate, and explicitly caveated as a planning figure, not a quote, since a client-side tool has no live pricing API. See docs/use-case-knowledge-base/09-cost-estimation-methodology.md for full sourcing.</w:t>
      </w:r>
    </w:p>
    <w:p>
      <w:pPr>
        <w:pStyle w:val="ListParagraph"/>
        <w:numPr>
          <w:ilvl w:val="0"/>
          <w:numId w:val="4"/>
        </w:numPr>
        <w:spacing w:after="90" w:line="264"/>
      </w:pPr>
      <w:r>
        <w:rPr>
          <w:sz w:val="21"/>
          <w:szCs w:val="21"/>
        </w:rPr>
        <w:t xml:space="preserve">RESOLVED (v1.4): Telemetry &amp; privacy policy (NFR-1) — never transmit free-text inputs, diagram payloads, or entity names. If telemetry is ever built, it must be strictly opt-in and restricted to anonymous categorical event counts (e.g. export format clicked, diagram format uploaded). No receiving backend endpoint or telemetry infrastructure exists today, and this policy decision does not constitute a commitment to build one.</w:t>
      </w:r>
    </w:p>
    <w:p>
      <w:pPr>
        <w:pStyle w:val="ListParagraph"/>
        <w:numPr>
          <w:ilvl w:val="0"/>
          <w:numId w:val="4"/>
        </w:numPr>
        <w:spacing w:after="90" w:line="264"/>
      </w:pPr>
      <w:r>
        <w:rPr>
          <w:sz w:val="21"/>
          <w:szCs w:val="21"/>
        </w:rPr>
        <w:t xml:space="preserve">RESOLVED (v1.4): Rule-engine feedback mechanism — adopt a low-overhead "Disagree with pick → Open GitHub Issue / Copy Markdown" workflow that formats the active signal, rule ID, and pick rationale. Known limitation: requiring a GitHub issue is real friction for a mid-review staff engineer, so conversion is expected to be low — a clean zero-backend starting point, not a claim of high adoption.</w:t>
      </w:r>
    </w:p>
    <w:p>
      <w:pPr>
        <w:pStyle w:val="ListParagraph"/>
        <w:numPr>
          <w:ilvl w:val="0"/>
          <w:numId w:val="4"/>
        </w:numPr>
        <w:spacing w:after="90" w:line="264"/>
      </w:pPr>
      <w:r>
        <w:rPr>
          <w:sz w:val="21"/>
          <w:szCs w:val="21"/>
        </w:rPr>
        <w:t xml:space="preserve">RESOLVED (v1.4): Flow View formalization — formalized as FR-31a in Section 7.7, cross-referenced against the existing v1.5 Release Plan entry rather than treated as newly discovered.</w:t>
      </w:r>
    </w:p>
    <w:sectPr>
      <w:headerReference w:type="default" r:id="rId7"/>
      <w:footerReference w:type="default" r:id="rId8"/>
      <w:pgSz w:w="12240" w:h="15840" w:orient="portrait"/>
      <w:pgMar w:top="1080" w:right="1260" w:bottom="108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B6B7C"/>
        <w:sz w:val="16"/>
        <w:szCs w:val="16"/>
      </w:rPr>
      <w:t xml:space="preserve">Page </w:t>
    </w:r>
    <w:r>
      <w:rPr>
        <w:color w:val="5B6B7C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B6B7C"/>
        <w:sz w:val="16"/>
        <w:szCs w:val="16"/>
      </w:rPr>
      <w:t xml:space="preserve"> of </w:t>
    </w:r>
    <w:r>
      <w:rPr>
        <w:color w:val="5B6B7C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4" w:space="4"/>
      </w:pBdr>
      <w:tabs>
        <w:tab w:val="right" w:pos="9648"/>
      </w:tabs>
    </w:pPr>
    <w:r>
      <w:rPr>
        <w:color w:val="5B6B7C"/>
        <w:sz w:val="16"/>
        <w:szCs w:val="16"/>
      </w:rPr>
      <w:t xml:space="preserve">Product Requirements Document</w:t>
    </w:r>
    <w:r>
      <w:rPr>
        <w:color w:val="5B6B7C"/>
        <w:sz w:val="16"/>
        <w:szCs w:val="16"/>
      </w:rPr>
      <w:t xml:space="preserve">	AI Stack Advisor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2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2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2026-08-17T16:07:49.507Z</dcterms:created>
  <dcterms:modified xsi:type="dcterms:W3CDTF">2026-08-17T16:07:49.508Z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