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20"/>
          <w:szCs w:val="20"/>
        </w:rPr>
        <w:t xml:space="preserve">Mechaline Data Analytics Internship Program</w:t>
      </w:r>
    </w:p>
    <w:p>
      <w:pPr>
        <w:spacing w:after="300"/>
      </w:pPr>
      <w:r>
        <w:rPr>
          <w:color w:val="555555"/>
          <w:sz w:val="20"/>
          <w:szCs w:val="20"/>
        </w:rPr>
        <w:t xml:space="preserve">Week 1 Assignment — Day 1 Deliverable</w:t>
      </w:r>
    </w:p>
    <w:p>
      <w:pPr>
        <w:spacing w:after="100"/>
      </w:pPr>
      <w:r>
        <w:rPr>
          <w:b/>
          <w:bCs/>
          <w:color w:val="1F4E78"/>
          <w:sz w:val="44"/>
          <w:szCs w:val="44"/>
        </w:rPr>
        <w:t xml:space="preserve">Data Cleaning Report</w:t>
      </w:r>
    </w:p>
    <w:p>
      <w:pPr>
        <w:spacing w:after="60"/>
      </w:pPr>
      <w:r>
        <w:rPr>
          <w:i/>
          <w:iCs/>
          <w:sz w:val="24"/>
          <w:szCs w:val="24"/>
        </w:rPr>
        <w:t xml:space="preserve">Pakistan Used Car Market Intelligence &amp; Advanced Data Analysis</w:t>
      </w:r>
    </w:p>
    <w:p>
      <w:pPr>
        <w:spacing w:after="20"/>
      </w:pPr>
      <w:r>
        <w:rPr>
          <w:b/>
          <w:bCs/>
          <w:sz w:val="22"/>
          <w:szCs w:val="22"/>
        </w:rPr>
        <w:t xml:space="preserve">Prepared by: </w:t>
      </w:r>
      <w:r>
        <w:rPr>
          <w:sz w:val="22"/>
          <w:szCs w:val="22"/>
        </w:rPr>
        <w:t xml:space="preserve">Muneeb</w:t>
      </w:r>
    </w:p>
    <w:p>
      <w:pPr>
        <w:spacing w:after="20"/>
      </w:pPr>
      <w:r>
        <w:rPr>
          <w:b/>
          <w:bCs/>
          <w:sz w:val="22"/>
          <w:szCs w:val="22"/>
        </w:rPr>
        <w:t xml:space="preserve">Dataset: </w:t>
      </w:r>
      <w:r>
        <w:rPr>
          <w:sz w:val="22"/>
          <w:szCs w:val="22"/>
        </w:rPr>
        <w:t xml:space="preserve">PakWheels Used Car Dataset (Raw_Data sheet)</w:t>
      </w:r>
    </w:p>
    <w:p>
      <w:pPr>
        <w:spacing w:after="400"/>
      </w:pPr>
      <w:r>
        <w:rPr>
          <w:b/>
          <w:bCs/>
          <w:sz w:val="22"/>
          <w:szCs w:val="22"/>
        </w:rPr>
        <w:t xml:space="preserve">Report Section: </w:t>
      </w:r>
      <w:r>
        <w:rPr>
          <w:sz w:val="22"/>
          <w:szCs w:val="22"/>
        </w:rPr>
        <w:t xml:space="preserve">Day 1 — Data Understanding &amp; Preparation</w:t>
      </w:r>
    </w:p>
    <w:p>
      <w:pPr>
        <w:pStyle w:val="Heading1"/>
        <w:spacing w:after="150" w:before="300"/>
      </w:pPr>
      <w:r>
        <w:t xml:space="preserve">1. Introduction</w:t>
      </w:r>
    </w:p>
    <w:p>
      <w:pPr>
        <w:spacing w:after="120"/>
      </w:pPr>
      <w:r>
        <w:t xml:space="preserve">This report documents the data cleaning process carried out on the PakWheels used car dataset as part of Day 1 of the Mechaline Data Analytics Internship project. The objective was to identify and resolve data quality issues — duplicate records, inconsistent categorical values, missing values, and outliers — before proceeding to exploratory data analysis (Day 2).</w:t>
      </w:r>
    </w:p>
    <w:p>
      <w:pPr>
        <w:pStyle w:val="Heading1"/>
        <w:spacing w:after="150" w:before="300"/>
      </w:pPr>
      <w:r>
        <w:t xml:space="preserve">2. Dataset Overview</w:t>
      </w:r>
    </w:p>
    <w:p>
      <w:pPr>
        <w:spacing w:after="120"/>
      </w:pPr>
      <w:r>
        <w:t xml:space="preserve">The raw dataset contained 10,250 records across 14 columns, covering vehicle brand, model, manufacturing year, fuel type, transmission, engine capacity, mileage, price, city, color, registration status, assembly type, and number of owners.</w:t>
      </w:r>
    </w:p>
    <w:p>
      <w:pPr>
        <w:pStyle w:val="Heading1"/>
        <w:spacing w:after="150" w:before="300"/>
      </w:pPr>
      <w:r>
        <w:t xml:space="preserve">3. Duplicate Record Detection &amp; Removal</w:t>
      </w:r>
    </w:p>
    <w:p>
      <w:pPr>
        <w:spacing w:after="120"/>
      </w:pPr>
      <w:r>
        <w:t xml:space="preserve">The Ad_ID column was first checked as the primary key and confirmed to be fully unique (10,250 unique values). However, full-record comparison across all remaining columns revealed 249 duplicate listings — records where every field (brand, model, year, price, mileage, city, etc.) matched an existing record exactly, aside from the auto-generated Ad_ID.</w:t>
      </w:r>
    </w:p>
    <w:p>
      <w:pPr>
        <w:spacing w:after="120"/>
      </w:pPr>
      <w:r>
        <w:rPr>
          <w:i/>
          <w:iCs/>
          <w:sz w:val="20"/>
          <w:szCs w:val="20"/>
        </w:rPr>
        <w:t xml:space="preserve">Method used: pandas .duplicated() and .drop_duplicates() on all columns except Ad_ID, keeping the first occurrence of each duplicate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8" w:color="auto" w:val="clear"/>
          </w:tcPr>
          <w:p>
            <w:r>
              <w:rPr>
                <w:b/>
                <w:bCs/>
                <w:color w:val="FFFFFF"/>
                <w:sz w:val="20"/>
                <w:szCs w:val="20"/>
              </w:rPr>
              <w:t xml:space="preserve">Metric</w:t>
            </w:r>
          </w:p>
        </w:tc>
        <w:tc>
          <w:tcPr>
            <w:tcW w:type="dxa" w:w="4500"/>
            <w:shd w:fill="1F4E78" w:color="auto" w:val="clear"/>
          </w:tcPr>
          <w:p>
            <w:r>
              <w:rPr>
                <w:b/>
                <w:bCs/>
                <w:color w:val="FFFFFF"/>
                <w:sz w:val="20"/>
                <w:szCs w:val="20"/>
              </w:rPr>
              <w:t xml:space="preserve">Value</w:t>
            </w:r>
          </w:p>
        </w:tc>
      </w:tr>
      <w:tr>
        <w:tc>
          <w:tcPr>
            <w:tcW w:type="dxa" w:w="4500"/>
          </w:tcPr>
          <w:p>
            <w:r>
              <w:rPr>
                <w:sz w:val="20"/>
                <w:szCs w:val="20"/>
              </w:rPr>
              <w:t xml:space="preserve">Rows before cleaning</w:t>
            </w:r>
          </w:p>
        </w:tc>
        <w:tc>
          <w:tcPr>
            <w:tcW w:type="dxa" w:w="4500"/>
          </w:tcPr>
          <w:p>
            <w:r>
              <w:rPr>
                <w:sz w:val="20"/>
                <w:szCs w:val="20"/>
              </w:rPr>
              <w:t xml:space="preserve">10,250</w:t>
            </w:r>
          </w:p>
        </w:tc>
      </w:tr>
      <w:tr>
        <w:tc>
          <w:tcPr>
            <w:tcW w:type="dxa" w:w="4500"/>
            <w:shd w:fill="F2F5FA" w:color="auto" w:val="clear"/>
          </w:tcPr>
          <w:p>
            <w:r>
              <w:rPr>
                <w:sz w:val="20"/>
                <w:szCs w:val="20"/>
              </w:rPr>
              <w:t xml:space="preserve">Duplicate rows identified</w:t>
            </w:r>
          </w:p>
        </w:tc>
        <w:tc>
          <w:tcPr>
            <w:tcW w:type="dxa" w:w="4500"/>
            <w:shd w:fill="F2F5FA" w:color="auto" w:val="clear"/>
          </w:tcPr>
          <w:p>
            <w:r>
              <w:rPr>
                <w:sz w:val="20"/>
                <w:szCs w:val="20"/>
              </w:rPr>
              <w:t xml:space="preserve">249</w:t>
            </w:r>
          </w:p>
        </w:tc>
      </w:tr>
      <w:tr>
        <w:tc>
          <w:tcPr>
            <w:tcW w:type="dxa" w:w="4500"/>
          </w:tcPr>
          <w:p>
            <w:r>
              <w:rPr>
                <w:sz w:val="20"/>
                <w:szCs w:val="20"/>
              </w:rPr>
              <w:t xml:space="preserve">Rows after removing duplicates</w:t>
            </w:r>
          </w:p>
        </w:tc>
        <w:tc>
          <w:tcPr>
            <w:tcW w:type="dxa" w:w="4500"/>
          </w:tcPr>
          <w:p>
            <w:r>
              <w:rPr>
                <w:sz w:val="20"/>
                <w:szCs w:val="20"/>
              </w:rPr>
              <w:t xml:space="preserve">10,001</w:t>
            </w:r>
          </w:p>
        </w:tc>
      </w:tr>
    </w:tbl>
    <w:p>
      <w:pPr>
        <w:pStyle w:val="Heading1"/>
        <w:spacing w:after="150" w:before="300"/>
      </w:pPr>
      <w:r>
        <w:t xml:space="preserve">4. Inconsistent Categorical Values</w:t>
      </w:r>
    </w:p>
    <w:p>
      <w:pPr>
        <w:spacing w:after="120"/>
      </w:pPr>
      <w:r>
        <w:t xml:space="preserve">Several categorical columns contained inconsistent casing, extra whitespace, and abbreviations that would otherwise be treated as distinct categories during analysis. Each column was standardized using string trimming, title-casing, and manual mapping of known abbreviations/short forms.</w:t>
      </w:r>
    </w:p>
    <w:p>
      <w:pPr>
        <w:pStyle w:val="Heading2"/>
        <w:spacing w:after="120" w:before="250"/>
      </w:pPr>
      <w:r>
        <w:t xml:space="preserve">4.1 Brand</w:t>
      </w:r>
    </w:p>
    <w:p>
      <w:pPr>
        <w:spacing w:after="120"/>
      </w:pPr>
      <w:r>
        <w:t xml:space="preserve">Inconsistent entries such as "toyota", "TOYOTA", and "Toyota " (trailing space) were standardized. "Kia" was corrected to the brand's proper form, "KIA".</w:t>
      </w:r>
    </w:p>
    <w:p>
      <w:pPr>
        <w:spacing w:after="120"/>
      </w:pPr>
      <w:r>
        <w:rPr>
          <w:b/>
          <w:bCs/>
        </w:rPr>
        <w:t xml:space="preserve">Result: 11 unique, standardized brand names — Toyota, Honda, Suzuki, Daihatsu, KIA, Hyundai, Nissan, Changan, MG, Mitsubishi, Proton.</w:t>
      </w:r>
    </w:p>
    <w:p>
      <w:pPr>
        <w:pStyle w:val="Heading2"/>
        <w:spacing w:after="120" w:before="250"/>
      </w:pPr>
      <w:r>
        <w:t xml:space="preserve">4.2 Fuel Type</w:t>
      </w:r>
    </w:p>
    <w:p>
      <w:pPr>
        <w:spacing w:after="120"/>
      </w:pPr>
      <w:r>
        <w:t xml:space="preserve">Casing and spacing variants (e.g. "petrol", "PETROL", " Petrol") were standardized.</w:t>
      </w:r>
    </w:p>
    <w:p>
      <w:pPr>
        <w:spacing w:after="120"/>
      </w:pPr>
      <w:r>
        <w:rPr>
          <w:b/>
          <w:bCs/>
        </w:rPr>
        <w:t xml:space="preserve">Result: 4 unique fuel types — Petrol, Diesel, Hybrid, CNG.</w:t>
      </w:r>
    </w:p>
    <w:p>
      <w:pPr>
        <w:pStyle w:val="Heading2"/>
        <w:spacing w:after="120" w:before="250"/>
      </w:pPr>
      <w:r>
        <w:t xml:space="preserve">4.3 Transmission</w:t>
      </w:r>
    </w:p>
    <w:p>
      <w:pPr>
        <w:spacing w:after="120"/>
      </w:pPr>
      <w:r>
        <w:t xml:space="preserve">Abbreviations such as "Auto", "Auto.", and "Man." were mapped to their full standardized forms.</w:t>
      </w:r>
    </w:p>
    <w:p>
      <w:pPr>
        <w:spacing w:after="120"/>
      </w:pPr>
      <w:r>
        <w:rPr>
          <w:b/>
          <w:bCs/>
        </w:rPr>
        <w:t xml:space="preserve">Result: 2 unique transmission types — Manual, Automatic.</w:t>
      </w:r>
    </w:p>
    <w:p>
      <w:pPr>
        <w:pStyle w:val="Heading2"/>
        <w:spacing w:after="120" w:before="250"/>
      </w:pPr>
      <w:r>
        <w:t xml:space="preserve">4.4 City</w:t>
      </w:r>
    </w:p>
    <w:p>
      <w:pPr>
        <w:spacing w:after="120"/>
      </w:pPr>
      <w:r>
        <w:t xml:space="preserve">Short forms and casing variants (e.g. "Lhr" -&gt; Lahore, "Khi" -&gt; Karachi, "Isb" -&gt; Islamabad, "Pindi" -&gt; Rawalpindi) were mapped to their full city names.</w:t>
      </w:r>
    </w:p>
    <w:p>
      <w:pPr>
        <w:spacing w:after="120"/>
      </w:pPr>
      <w:r>
        <w:rPr>
          <w:b/>
          <w:bCs/>
        </w:rPr>
        <w:t xml:space="preserve">Result: 15 unique cities — Lahore, Karachi, Islamabad, Rawalpindi, Faisalabad, Multan, Peshawar, Sialkot, Gujranwala, Hyderabad, Quetta, Sargodha, Sheikhupura, Gujrat, Bahawalpur.</w:t>
      </w:r>
    </w:p>
    <w:p>
      <w:pPr>
        <w:pStyle w:val="Heading1"/>
        <w:spacing w:after="150" w:before="300"/>
      </w:pPr>
      <w:r>
        <w:t xml:space="preserve">5. Missing Values Treatment</w:t>
      </w:r>
    </w:p>
    <w:p>
      <w:pPr>
        <w:spacing w:after="120"/>
      </w:pPr>
      <w:r>
        <w:t xml:space="preserve">Missing values were present across eight columns, ranging from 1.49% to 5.08% of records. Categorical columns were imputed using the mode (most frequent category); numeric columns were imputed using the median, which is less sensitive to outliers than the mean.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shd w:fill="1F4E78" w:color="auto" w:val="clear"/>
          </w:tcPr>
          <w:p>
            <w:r>
              <w:rPr>
                <w:b/>
                <w:bCs/>
                <w:color w:val="FFFFFF"/>
                <w:sz w:val="20"/>
                <w:szCs w:val="20"/>
              </w:rPr>
              <w:t xml:space="preserve">Column</w:t>
            </w:r>
          </w:p>
        </w:tc>
        <w:tc>
          <w:tcPr>
            <w:tcW w:type="dxa" w:w="2400"/>
            <w:shd w:fill="1F4E78" w:color="auto" w:val="clear"/>
          </w:tcPr>
          <w:p>
            <w:r>
              <w:rPr>
                <w:b/>
                <w:bCs/>
                <w:color w:val="FFFFFF"/>
                <w:sz w:val="20"/>
                <w:szCs w:val="20"/>
              </w:rPr>
              <w:t xml:space="preserve">Missing (%)</w:t>
            </w:r>
          </w:p>
        </w:tc>
        <w:tc>
          <w:tcPr>
            <w:tcW w:type="dxa" w:w="3000"/>
            <w:shd w:fill="1F4E78" w:color="auto" w:val="clear"/>
          </w:tcPr>
          <w:p>
            <w:r>
              <w:rPr>
                <w:b/>
                <w:bCs/>
                <w:color w:val="FFFFFF"/>
                <w:sz w:val="20"/>
                <w:szCs w:val="20"/>
              </w:rPr>
              <w:t xml:space="preserve">Treatment Method</w:t>
            </w:r>
          </w:p>
        </w:tc>
      </w:tr>
      <w:tr>
        <w:tc>
          <w:tcPr>
            <w:tcW w:type="dxa" w:w="3600"/>
          </w:tcPr>
          <w:p>
            <w:r>
              <w:rPr>
                <w:sz w:val="20"/>
                <w:szCs w:val="20"/>
              </w:rPr>
              <w:t xml:space="preserve">Fuel_Type</w:t>
            </w:r>
          </w:p>
        </w:tc>
        <w:tc>
          <w:tcPr>
            <w:tcW w:type="dxa" w:w="2400"/>
          </w:tcPr>
          <w:p>
            <w:r>
              <w:rPr>
                <w:sz w:val="20"/>
                <w:szCs w:val="20"/>
              </w:rPr>
              <w:t xml:space="preserve">3.00%</w:t>
            </w:r>
          </w:p>
        </w:tc>
        <w:tc>
          <w:tcPr>
            <w:tcW w:type="dxa" w:w="3000"/>
          </w:tcPr>
          <w:p>
            <w:r>
              <w:rPr>
                <w:sz w:val="20"/>
                <w:szCs w:val="20"/>
              </w:rPr>
              <w:t xml:space="preserve">Mode imputation</w:t>
            </w:r>
          </w:p>
        </w:tc>
      </w:tr>
      <w:tr>
        <w:tc>
          <w:tcPr>
            <w:tcW w:type="dxa" w:w="3600"/>
            <w:shd w:fill="F2F5FA" w:color="auto" w:val="clear"/>
          </w:tcPr>
          <w:p>
            <w:r>
              <w:rPr>
                <w:sz w:val="20"/>
                <w:szCs w:val="20"/>
              </w:rPr>
              <w:t xml:space="preserve">Transmission</w:t>
            </w:r>
          </w:p>
        </w:tc>
        <w:tc>
          <w:tcPr>
            <w:tcW w:type="dxa" w:w="2400"/>
            <w:shd w:fill="F2F5FA" w:color="auto" w:val="clear"/>
          </w:tcPr>
          <w:p>
            <w:r>
              <w:rPr>
                <w:sz w:val="20"/>
                <w:szCs w:val="20"/>
              </w:rPr>
              <w:t xml:space="preserve">2.49%</w:t>
            </w:r>
          </w:p>
        </w:tc>
        <w:tc>
          <w:tcPr>
            <w:tcW w:type="dxa" w:w="3000"/>
            <w:shd w:fill="F2F5FA" w:color="auto" w:val="clear"/>
          </w:tcPr>
          <w:p>
            <w:r>
              <w:rPr>
                <w:sz w:val="20"/>
                <w:szCs w:val="20"/>
              </w:rPr>
              <w:t xml:space="preserve">Mode imputation</w:t>
            </w:r>
          </w:p>
        </w:tc>
      </w:tr>
      <w:tr>
        <w:tc>
          <w:tcPr>
            <w:tcW w:type="dxa" w:w="3600"/>
          </w:tcPr>
          <w:p>
            <w:r>
              <w:rPr>
                <w:sz w:val="20"/>
                <w:szCs w:val="20"/>
              </w:rPr>
              <w:t xml:space="preserve">Engine_Capacity_cc</w:t>
            </w:r>
          </w:p>
        </w:tc>
        <w:tc>
          <w:tcPr>
            <w:tcW w:type="dxa" w:w="2400"/>
          </w:tcPr>
          <w:p>
            <w:r>
              <w:rPr>
                <w:sz w:val="20"/>
                <w:szCs w:val="20"/>
              </w:rPr>
              <w:t xml:space="preserve">1.49%</w:t>
            </w:r>
          </w:p>
        </w:tc>
        <w:tc>
          <w:tcPr>
            <w:tcW w:type="dxa" w:w="3000"/>
          </w:tcPr>
          <w:p>
            <w:r>
              <w:rPr>
                <w:sz w:val="20"/>
                <w:szCs w:val="20"/>
              </w:rPr>
              <w:t xml:space="preserve">Median imputation</w:t>
            </w:r>
          </w:p>
        </w:tc>
      </w:tr>
      <w:tr>
        <w:tc>
          <w:tcPr>
            <w:tcW w:type="dxa" w:w="3600"/>
            <w:shd w:fill="F2F5FA" w:color="auto" w:val="clear"/>
          </w:tcPr>
          <w:p>
            <w:r>
              <w:rPr>
                <w:sz w:val="20"/>
                <w:szCs w:val="20"/>
              </w:rPr>
              <w:t xml:space="preserve">Mileage_km</w:t>
            </w:r>
          </w:p>
        </w:tc>
        <w:tc>
          <w:tcPr>
            <w:tcW w:type="dxa" w:w="2400"/>
            <w:shd w:fill="F2F5FA" w:color="auto" w:val="clear"/>
          </w:tcPr>
          <w:p>
            <w:r>
              <w:rPr>
                <w:sz w:val="20"/>
                <w:szCs w:val="20"/>
              </w:rPr>
              <w:t xml:space="preserve">3.96%</w:t>
            </w:r>
          </w:p>
        </w:tc>
        <w:tc>
          <w:tcPr>
            <w:tcW w:type="dxa" w:w="3000"/>
            <w:shd w:fill="F2F5FA" w:color="auto" w:val="clear"/>
          </w:tcPr>
          <w:p>
            <w:r>
              <w:rPr>
                <w:sz w:val="20"/>
                <w:szCs w:val="20"/>
              </w:rPr>
              <w:t xml:space="preserve">Median imputation</w:t>
            </w:r>
          </w:p>
        </w:tc>
      </w:tr>
      <w:tr>
        <w:tc>
          <w:tcPr>
            <w:tcW w:type="dxa" w:w="3600"/>
          </w:tcPr>
          <w:p>
            <w:r>
              <w:rPr>
                <w:sz w:val="20"/>
                <w:szCs w:val="20"/>
              </w:rPr>
              <w:t xml:space="preserve">Price_PKR</w:t>
            </w:r>
          </w:p>
        </w:tc>
        <w:tc>
          <w:tcPr>
            <w:tcW w:type="dxa" w:w="2400"/>
          </w:tcPr>
          <w:p>
            <w:r>
              <w:rPr>
                <w:sz w:val="20"/>
                <w:szCs w:val="20"/>
              </w:rPr>
              <w:t xml:space="preserve">2.02%</w:t>
            </w:r>
          </w:p>
        </w:tc>
        <w:tc>
          <w:tcPr>
            <w:tcW w:type="dxa" w:w="3000"/>
          </w:tcPr>
          <w:p>
            <w:r>
              <w:rPr>
                <w:sz w:val="20"/>
                <w:szCs w:val="20"/>
              </w:rPr>
              <w:t xml:space="preserve">Median imputation</w:t>
            </w:r>
          </w:p>
        </w:tc>
      </w:tr>
      <w:tr>
        <w:tc>
          <w:tcPr>
            <w:tcW w:type="dxa" w:w="3600"/>
            <w:shd w:fill="F2F5FA" w:color="auto" w:val="clear"/>
          </w:tcPr>
          <w:p>
            <w:r>
              <w:rPr>
                <w:sz w:val="20"/>
                <w:szCs w:val="20"/>
              </w:rPr>
              <w:t xml:space="preserve">City</w:t>
            </w:r>
          </w:p>
        </w:tc>
        <w:tc>
          <w:tcPr>
            <w:tcW w:type="dxa" w:w="2400"/>
            <w:shd w:fill="F2F5FA" w:color="auto" w:val="clear"/>
          </w:tcPr>
          <w:p>
            <w:r>
              <w:rPr>
                <w:sz w:val="20"/>
                <w:szCs w:val="20"/>
              </w:rPr>
              <w:t xml:space="preserve">2.00%</w:t>
            </w:r>
          </w:p>
        </w:tc>
        <w:tc>
          <w:tcPr>
            <w:tcW w:type="dxa" w:w="3000"/>
            <w:shd w:fill="F2F5FA" w:color="auto" w:val="clear"/>
          </w:tcPr>
          <w:p>
            <w:r>
              <w:rPr>
                <w:sz w:val="20"/>
                <w:szCs w:val="20"/>
              </w:rPr>
              <w:t xml:space="preserve">Mode imputation</w:t>
            </w:r>
          </w:p>
        </w:tc>
      </w:tr>
      <w:tr>
        <w:tc>
          <w:tcPr>
            <w:tcW w:type="dxa" w:w="3600"/>
          </w:tcPr>
          <w:p>
            <w:r>
              <w:rPr>
                <w:sz w:val="20"/>
                <w:szCs w:val="20"/>
              </w:rPr>
              <w:t xml:space="preserve">Color</w:t>
            </w:r>
          </w:p>
        </w:tc>
        <w:tc>
          <w:tcPr>
            <w:tcW w:type="dxa" w:w="2400"/>
          </w:tcPr>
          <w:p>
            <w:r>
              <w:rPr>
                <w:sz w:val="20"/>
                <w:szCs w:val="20"/>
              </w:rPr>
              <w:t xml:space="preserve">5.08%</w:t>
            </w:r>
          </w:p>
        </w:tc>
        <w:tc>
          <w:tcPr>
            <w:tcW w:type="dxa" w:w="3000"/>
          </w:tcPr>
          <w:p>
            <w:r>
              <w:rPr>
                <w:sz w:val="20"/>
                <w:szCs w:val="20"/>
              </w:rPr>
              <w:t xml:space="preserve">Mode imputation</w:t>
            </w:r>
          </w:p>
        </w:tc>
      </w:tr>
      <w:tr>
        <w:tc>
          <w:tcPr>
            <w:tcW w:type="dxa" w:w="3600"/>
            <w:shd w:fill="F2F5FA" w:color="auto" w:val="clear"/>
          </w:tcPr>
          <w:p>
            <w:r>
              <w:rPr>
                <w:sz w:val="20"/>
                <w:szCs w:val="20"/>
              </w:rPr>
              <w:t xml:space="preserve">Number_of_Owners</w:t>
            </w:r>
          </w:p>
        </w:tc>
        <w:tc>
          <w:tcPr>
            <w:tcW w:type="dxa" w:w="2400"/>
            <w:shd w:fill="F2F5FA" w:color="auto" w:val="clear"/>
          </w:tcPr>
          <w:p>
            <w:r>
              <w:rPr>
                <w:sz w:val="20"/>
                <w:szCs w:val="20"/>
              </w:rPr>
              <w:t xml:space="preserve">2.97%</w:t>
            </w:r>
          </w:p>
        </w:tc>
        <w:tc>
          <w:tcPr>
            <w:tcW w:type="dxa" w:w="3000"/>
            <w:shd w:fill="F2F5FA" w:color="auto" w:val="clear"/>
          </w:tcPr>
          <w:p>
            <w:r>
              <w:rPr>
                <w:sz w:val="20"/>
                <w:szCs w:val="20"/>
              </w:rPr>
              <w:t xml:space="preserve">Mode imputation</w:t>
            </w:r>
          </w:p>
        </w:tc>
      </w:tr>
    </w:tbl>
    <w:p>
      <w:pPr>
        <w:spacing w:after="120"/>
      </w:pPr>
      <w:r>
        <w:rPr>
          <w:i/>
          <w:iCs/>
          <w:sz w:val="20"/>
          <w:szCs w:val="20"/>
        </w:rPr>
        <w:t xml:space="preserve">After imputation, columns that had been cast to float type due to missing values (Engine_Capacity_cc, Mileage_km, Number_of_Owners) were converted back to integer type.</w:t>
      </w:r>
    </w:p>
    <w:p>
      <w:pPr>
        <w:pStyle w:val="Heading1"/>
        <w:spacing w:after="150" w:before="300"/>
      </w:pPr>
      <w:r>
        <w:t xml:space="preserve">6. Outlier Detection &amp; Treatment</w:t>
      </w:r>
    </w:p>
    <w:p>
      <w:pPr>
        <w:pStyle w:val="Heading2"/>
        <w:spacing w:after="120" w:before="250"/>
      </w:pPr>
      <w:r>
        <w:t xml:space="preserve">6.1 Manufacturing Year</w:t>
      </w:r>
    </w:p>
    <w:p>
      <w:pPr>
        <w:spacing w:after="120"/>
      </w:pPr>
      <w:r>
        <w:t xml:space="preserve">Invalid entries such as 0, 1899, 2031, and 9999 were identified as data entry errors. Records outside a valid range of 1990–2026 were removed, resulting in the removal of 14 rows.</w:t>
      </w:r>
    </w:p>
    <w:p>
      <w:pPr>
        <w:pStyle w:val="Heading2"/>
        <w:spacing w:after="120" w:before="250"/>
      </w:pPr>
      <w:r>
        <w:t xml:space="preserve">6.2 Price (PKR)</w:t>
      </w:r>
    </w:p>
    <w:p>
      <w:pPr>
        <w:spacing w:after="120"/>
      </w:pPr>
      <w:r>
        <w:t xml:space="preserve">The Interquartile Range (IQR) method was applied to detect extreme, unrealistic listing prices (e.g. Rs. 1 and Rs. 99,999,999). Values outside the IQR bounds were capped (winsorized) to the calculated lower/upper bounds rather than removed, to preserve sample size.</w:t>
      </w:r>
    </w:p>
    <w:p>
      <w:pPr>
        <w:pStyle w:val="Heading2"/>
        <w:spacing w:after="120" w:before="250"/>
      </w:pPr>
      <w:r>
        <w:t xml:space="preserve">6.3 Mileage (km)</w:t>
      </w:r>
    </w:p>
    <w:p>
      <w:pPr>
        <w:spacing w:after="120"/>
      </w:pPr>
      <w:r>
        <w:t xml:space="preserve">The same IQR method was applied to mileage, with the lower bound floored at zero (since mileage cannot be negative). Extreme values (e.g. 0 km flagged as suspicious, or 999,999+ km) were capped to the IQR bounds.</w:t>
      </w:r>
    </w:p>
    <w:p>
      <w:pPr>
        <w:pStyle w:val="Heading1"/>
        <w:spacing w:after="150" w:before="300"/>
      </w:pPr>
      <w:r>
        <w:t xml:space="preserve">7. Summary of Cleaning Actions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100"/>
      </w:tblGrid>
      <w:tr>
        <w:trPr>
          <w:tblHeader/>
        </w:trPr>
        <w:tc>
          <w:tcPr>
            <w:tcW w:type="dxa" w:w="900"/>
            <w:shd w:fill="1F4E78" w:color="auto" w:val="clear"/>
          </w:tcPr>
          <w:p>
            <w:r>
              <w:rPr>
                <w:b/>
                <w:bCs/>
                <w:color w:val="FFFFFF"/>
                <w:sz w:val="20"/>
                <w:szCs w:val="20"/>
              </w:rPr>
              <w:t xml:space="preserve">Step</w:t>
            </w:r>
          </w:p>
        </w:tc>
        <w:tc>
          <w:tcPr>
            <w:tcW w:type="dxa" w:w="2400"/>
            <w:shd w:fill="1F4E78" w:color="auto" w:val="clear"/>
          </w:tcPr>
          <w:p>
            <w:r>
              <w:rPr>
                <w:b/>
                <w:bCs/>
                <w:color w:val="FFFFFF"/>
                <w:sz w:val="20"/>
                <w:szCs w:val="20"/>
              </w:rPr>
              <w:t xml:space="preserve">Issue</w:t>
            </w:r>
          </w:p>
        </w:tc>
        <w:tc>
          <w:tcPr>
            <w:tcW w:type="dxa" w:w="3600"/>
            <w:shd w:fill="1F4E78" w:color="auto" w:val="clear"/>
          </w:tcPr>
          <w:p>
            <w:r>
              <w:rPr>
                <w:b/>
                <w:bCs/>
                <w:color w:val="FFFFFF"/>
                <w:sz w:val="20"/>
                <w:szCs w:val="20"/>
              </w:rPr>
              <w:t xml:space="preserve">Action Taken</w:t>
            </w:r>
          </w:p>
        </w:tc>
        <w:tc>
          <w:tcPr>
            <w:tcW w:type="dxa" w:w="2100"/>
            <w:shd w:fill="1F4E78" w:color="auto" w:val="clear"/>
          </w:tcPr>
          <w:p>
            <w:r>
              <w:rPr>
                <w:b/>
                <w:bCs/>
                <w:color w:val="FFFFFF"/>
                <w:sz w:val="20"/>
                <w:szCs w:val="20"/>
              </w:rPr>
              <w:t xml:space="preserve">Rows Affected</w:t>
            </w:r>
          </w:p>
        </w:tc>
      </w:tr>
      <w:tr>
        <w:tc>
          <w:tcPr>
            <w:tcW w:type="dxa" w:w="900"/>
          </w:tcPr>
          <w:p>
            <w:r>
              <w:rPr>
                <w:sz w:val="20"/>
                <w:szCs w:val="20"/>
              </w:rPr>
              <w:t xml:space="preserve">1</w:t>
            </w:r>
          </w:p>
        </w:tc>
        <w:tc>
          <w:tcPr>
            <w:tcW w:type="dxa" w:w="2400"/>
          </w:tcPr>
          <w:p>
            <w:r>
              <w:rPr>
                <w:sz w:val="20"/>
                <w:szCs w:val="20"/>
              </w:rPr>
              <w:t xml:space="preserve">Duplicate records</w:t>
            </w:r>
          </w:p>
        </w:tc>
        <w:tc>
          <w:tcPr>
            <w:tcW w:type="dxa" w:w="3600"/>
          </w:tcPr>
          <w:p>
            <w:r>
              <w:rPr>
                <w:sz w:val="20"/>
                <w:szCs w:val="20"/>
              </w:rPr>
              <w:t xml:space="preserve">Removed (kept first occurrence)</w:t>
            </w:r>
          </w:p>
        </w:tc>
        <w:tc>
          <w:tcPr>
            <w:tcW w:type="dxa" w:w="2100"/>
          </w:tcPr>
          <w:p>
            <w:r>
              <w:rPr>
                <w:sz w:val="20"/>
                <w:szCs w:val="20"/>
              </w:rPr>
              <w:t xml:space="preserve">249 removed</w:t>
            </w:r>
          </w:p>
        </w:tc>
      </w:tr>
      <w:tr>
        <w:tc>
          <w:tcPr>
            <w:tcW w:type="dxa" w:w="900"/>
            <w:shd w:fill="F2F5FA" w:color="auto" w:val="clear"/>
          </w:tcPr>
          <w:p>
            <w:r>
              <w:rPr>
                <w:sz w:val="20"/>
                <w:szCs w:val="20"/>
              </w:rPr>
              <w:t xml:space="preserve">2</w:t>
            </w:r>
          </w:p>
        </w:tc>
        <w:tc>
          <w:tcPr>
            <w:tcW w:type="dxa" w:w="2400"/>
            <w:shd w:fill="F2F5FA" w:color="auto" w:val="clear"/>
          </w:tcPr>
          <w:p>
            <w:r>
              <w:rPr>
                <w:sz w:val="20"/>
                <w:szCs w:val="20"/>
              </w:rPr>
              <w:t xml:space="preserve">Inconsistent categories</w:t>
            </w:r>
          </w:p>
        </w:tc>
        <w:tc>
          <w:tcPr>
            <w:tcW w:type="dxa" w:w="3600"/>
            <w:shd w:fill="F2F5FA" w:color="auto" w:val="clear"/>
          </w:tcPr>
          <w:p>
            <w:r>
              <w:rPr>
                <w:sz w:val="20"/>
                <w:szCs w:val="20"/>
              </w:rPr>
              <w:t xml:space="preserve">Standardized (Brand, Fuel_Type, Transmission, City)</w:t>
            </w:r>
          </w:p>
        </w:tc>
        <w:tc>
          <w:tcPr>
            <w:tcW w:type="dxa" w:w="2100"/>
            <w:shd w:fill="F2F5FA" w:color="auto" w:val="clear"/>
          </w:tcPr>
          <w:p>
            <w:r>
              <w:rPr>
                <w:sz w:val="20"/>
                <w:szCs w:val="20"/>
              </w:rPr>
              <w:t xml:space="preserve">~1,900 values corrected</w:t>
            </w:r>
          </w:p>
        </w:tc>
      </w:tr>
      <w:tr>
        <w:tc>
          <w:tcPr>
            <w:tcW w:type="dxa" w:w="900"/>
          </w:tcPr>
          <w:p>
            <w:r>
              <w:rPr>
                <w:sz w:val="20"/>
                <w:szCs w:val="20"/>
              </w:rPr>
              <w:t xml:space="preserve">3</w:t>
            </w:r>
          </w:p>
        </w:tc>
        <w:tc>
          <w:tcPr>
            <w:tcW w:type="dxa" w:w="2400"/>
          </w:tcPr>
          <w:p>
            <w:r>
              <w:rPr>
                <w:sz w:val="20"/>
                <w:szCs w:val="20"/>
              </w:rPr>
              <w:t xml:space="preserve">Missing values</w:t>
            </w:r>
          </w:p>
        </w:tc>
        <w:tc>
          <w:tcPr>
            <w:tcW w:type="dxa" w:w="3600"/>
          </w:tcPr>
          <w:p>
            <w:r>
              <w:rPr>
                <w:sz w:val="20"/>
                <w:szCs w:val="20"/>
              </w:rPr>
              <w:t xml:space="preserve">Mode / Median imputation</w:t>
            </w:r>
          </w:p>
        </w:tc>
        <w:tc>
          <w:tcPr>
            <w:tcW w:type="dxa" w:w="2100"/>
          </w:tcPr>
          <w:p>
            <w:r>
              <w:rPr>
                <w:sz w:val="20"/>
                <w:szCs w:val="20"/>
              </w:rPr>
              <w:t xml:space="preserve">8 columns, 1.49%-5.08% each</w:t>
            </w:r>
          </w:p>
        </w:tc>
      </w:tr>
      <w:tr>
        <w:tc>
          <w:tcPr>
            <w:tcW w:type="dxa" w:w="900"/>
            <w:shd w:fill="F2F5FA" w:color="auto" w:val="clear"/>
          </w:tcPr>
          <w:p>
            <w:r>
              <w:rPr>
                <w:sz w:val="20"/>
                <w:szCs w:val="20"/>
              </w:rPr>
              <w:t xml:space="preserve">4</w:t>
            </w:r>
          </w:p>
        </w:tc>
        <w:tc>
          <w:tcPr>
            <w:tcW w:type="dxa" w:w="2400"/>
            <w:shd w:fill="F2F5FA" w:color="auto" w:val="clear"/>
          </w:tcPr>
          <w:p>
            <w:r>
              <w:rPr>
                <w:sz w:val="20"/>
                <w:szCs w:val="20"/>
              </w:rPr>
              <w:t xml:space="preserve">Invalid Manufacturing_Year</w:t>
            </w:r>
          </w:p>
        </w:tc>
        <w:tc>
          <w:tcPr>
            <w:tcW w:type="dxa" w:w="3600"/>
            <w:shd w:fill="F2F5FA" w:color="auto" w:val="clear"/>
          </w:tcPr>
          <w:p>
            <w:r>
              <w:rPr>
                <w:sz w:val="20"/>
                <w:szCs w:val="20"/>
              </w:rPr>
              <w:t xml:space="preserve">Removed (outside 1990-2026)</w:t>
            </w:r>
          </w:p>
        </w:tc>
        <w:tc>
          <w:tcPr>
            <w:tcW w:type="dxa" w:w="2100"/>
            <w:shd w:fill="F2F5FA" w:color="auto" w:val="clear"/>
          </w:tcPr>
          <w:p>
            <w:r>
              <w:rPr>
                <w:sz w:val="20"/>
                <w:szCs w:val="20"/>
              </w:rPr>
              <w:t xml:space="preserve">14 removed</w:t>
            </w:r>
          </w:p>
        </w:tc>
      </w:tr>
      <w:tr>
        <w:tc>
          <w:tcPr>
            <w:tcW w:type="dxa" w:w="900"/>
          </w:tcPr>
          <w:p>
            <w:r>
              <w:rPr>
                <w:sz w:val="20"/>
                <w:szCs w:val="20"/>
              </w:rPr>
              <w:t xml:space="preserve">5</w:t>
            </w:r>
          </w:p>
        </w:tc>
        <w:tc>
          <w:tcPr>
            <w:tcW w:type="dxa" w:w="2400"/>
          </w:tcPr>
          <w:p>
            <w:r>
              <w:rPr>
                <w:sz w:val="20"/>
                <w:szCs w:val="20"/>
              </w:rPr>
              <w:t xml:space="preserve">Price/Mileage outliers</w:t>
            </w:r>
          </w:p>
        </w:tc>
        <w:tc>
          <w:tcPr>
            <w:tcW w:type="dxa" w:w="3600"/>
          </w:tcPr>
          <w:p>
            <w:r>
              <w:rPr>
                <w:sz w:val="20"/>
                <w:szCs w:val="20"/>
              </w:rPr>
              <w:t xml:space="preserve">Capped using IQR method</w:t>
            </w:r>
          </w:p>
        </w:tc>
        <w:tc>
          <w:tcPr>
            <w:tcW w:type="dxa" w:w="2100"/>
          </w:tcPr>
          <w:p>
            <w:r>
              <w:rPr>
                <w:sz w:val="20"/>
                <w:szCs w:val="20"/>
              </w:rPr>
              <w:t xml:space="preserve">Values adjusted, no rows removed</w:t>
            </w:r>
          </w:p>
        </w:tc>
      </w:tr>
    </w:tbl>
    <w:p>
      <w:pPr>
        <w:pStyle w:val="Heading1"/>
        <w:spacing w:after="150" w:before="300"/>
      </w:pPr>
      <w:r>
        <w:t xml:space="preserve">8. Conclusion</w:t>
      </w:r>
    </w:p>
    <w:p>
      <w:pPr>
        <w:spacing w:after="120"/>
      </w:pPr>
      <w:r>
        <w:t xml:space="preserve">Following these cleaning steps, the dataset was reduced from 10,250 raw records to approximately 9,987 verified, consistent records, with standardized categorical fields, no missing values, and controlled outliers. The cleaned dataset is now suitable for Exploratory Data Analysis (Day 2) and subsequent advanced analytics.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2026-07-04T05:48:45.541Z</dcterms:created>
  <dcterms:modified xsi:type="dcterms:W3CDTF">2026-07-04T05:48:45.541Z</dcterms:modified>
</cp:coreProperties>
</file>

<file path=docProps/custom.xml><?xml version="1.0" encoding="utf-8"?>
<Properties xmlns="http://schemas.openxmlformats.org/officeDocument/2006/custom-properties" xmlns:vt="http://schemas.openxmlformats.org/officeDocument/2006/docPropsVTypes"/>
</file>