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8"/>
          <w:sz w:val="20"/>
          <w:szCs w:val="20"/>
        </w:rPr>
        <w:t xml:space="preserve">Mechaline Data Analytics Internship Program</w:t>
      </w:r>
    </w:p>
    <w:p>
      <w:pPr>
        <w:spacing w:after="300"/>
      </w:pPr>
      <w:r>
        <w:rPr>
          <w:color w:val="555555"/>
          <w:sz w:val="20"/>
          <w:szCs w:val="20"/>
        </w:rPr>
        <w:t xml:space="preserve">Week 1 Assignment — Day 2 Deliverable</w:t>
      </w:r>
    </w:p>
    <w:p>
      <w:pPr>
        <w:spacing w:after="100"/>
      </w:pPr>
      <w:r>
        <w:rPr>
          <w:b/>
          <w:bCs/>
          <w:color w:val="1F4E78"/>
          <w:sz w:val="40"/>
          <w:szCs w:val="40"/>
        </w:rPr>
        <w:t xml:space="preserve">Exploratory Data Analysis (EDA) Report</w:t>
      </w:r>
    </w:p>
    <w:p>
      <w:pPr>
        <w:spacing w:after="60"/>
      </w:pPr>
      <w:r>
        <w:rPr>
          <w:i/>
          <w:iCs/>
          <w:sz w:val="24"/>
          <w:szCs w:val="24"/>
        </w:rPr>
        <w:t xml:space="preserve">Pakistan Used Car Market Intelligence &amp; Advanced Data Analysis</w:t>
      </w:r>
    </w:p>
    <w:p>
      <w:pPr>
        <w:spacing w:after="20"/>
      </w:pPr>
      <w:r>
        <w:rPr>
          <w:b/>
          <w:bCs/>
          <w:sz w:val="22"/>
          <w:szCs w:val="22"/>
        </w:rPr>
        <w:t xml:space="preserve">Prepared by: </w:t>
      </w:r>
      <w:r>
        <w:rPr>
          <w:sz w:val="22"/>
          <w:szCs w:val="22"/>
        </w:rPr>
        <w:t xml:space="preserve">Muneeb</w:t>
      </w:r>
    </w:p>
    <w:p>
      <w:pPr>
        <w:spacing w:after="400"/>
      </w:pPr>
      <w:r>
        <w:rPr>
          <w:b/>
          <w:bCs/>
          <w:sz w:val="22"/>
          <w:szCs w:val="22"/>
        </w:rPr>
        <w:t xml:space="preserve">Dataset: </w:t>
      </w:r>
      <w:r>
        <w:rPr>
          <w:sz w:val="22"/>
          <w:szCs w:val="22"/>
        </w:rPr>
        <w:t xml:space="preserve">PakWheels Used Car Dataset (Cleaned, 9,986-10,001 records)</w:t>
      </w:r>
    </w:p>
    <w:p>
      <w:pPr>
        <w:pStyle w:val="Heading1"/>
        <w:spacing w:after="150" w:before="300"/>
      </w:pPr>
      <w:r>
        <w:t xml:space="preserve">1. Introduction</w:t>
      </w:r>
    </w:p>
    <w:p>
      <w:pPr>
        <w:spacing w:after="120"/>
      </w:pPr>
      <w:r>
        <w:t xml:space="preserve">This report presents the Exploratory Data Analysis (EDA) conducted on the cleaned PakWheels used car dataset. Descriptive statistics and visualizations were generated for vehicle brand, model, manufacturing year, fuel type, transmission, engine capacity, mileage, price, and city-wise listings, in order to understand the underlying structure and patterns of the market before moving into advanced/diagnostic analysis (Day 3).</w:t>
      </w:r>
    </w:p>
    <w:p>
      <w:pPr>
        <w:pStyle w:val="Heading1"/>
        <w:spacing w:after="150" w:before="300"/>
      </w:pPr>
      <w:r>
        <w:t xml:space="preserve">2. Vehicle Brand Analysis</w:t>
      </w:r>
    </w:p>
    <w:p>
      <w:pPr>
        <w:spacing w:after="120"/>
      </w:pPr>
      <w:r>
        <w:t xml:space="preserve">A bar chart of listing counts by brand was produced to identify market leaders.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8" w:color="auto" w:val="clear"/>
          </w:tcPr>
          <w:p>
            <w:r>
              <w:rPr>
                <w:b/>
                <w:bCs/>
                <w:color w:val="FFFFFF"/>
                <w:sz w:val="20"/>
                <w:szCs w:val="20"/>
              </w:rPr>
              <w:t xml:space="preserve">Brand</w:t>
            </w:r>
          </w:p>
        </w:tc>
        <w:tc>
          <w:tcPr>
            <w:tcW w:type="dxa" w:w="3000"/>
            <w:shd w:fill="1F4E78" w:color="auto" w:val="clear"/>
          </w:tcPr>
          <w:p>
            <w:r>
              <w:rPr>
                <w:b/>
                <w:bCs/>
                <w:color w:val="FFFFFF"/>
                <w:sz w:val="20"/>
                <w:szCs w:val="20"/>
              </w:rPr>
              <w:t xml:space="preserve">Listings</w:t>
            </w:r>
          </w:p>
        </w:tc>
        <w:tc>
          <w:tcPr>
            <w:tcW w:type="dxa" w:w="3000"/>
            <w:shd w:fill="1F4E78" w:color="auto" w:val="clear"/>
          </w:tcPr>
          <w:p>
            <w:r>
              <w:rPr>
                <w:b/>
                <w:bCs/>
                <w:color w:val="FFFFFF"/>
                <w:sz w:val="20"/>
                <w:szCs w:val="20"/>
              </w:rPr>
              <w:t xml:space="preserve">Share (%)</w:t>
            </w:r>
          </w:p>
        </w:tc>
      </w:tr>
      <w:tr>
        <w:tc>
          <w:tcPr>
            <w:tcW w:type="dxa" w:w="3000"/>
          </w:tcPr>
          <w:p>
            <w:r>
              <w:rPr>
                <w:sz w:val="20"/>
                <w:szCs w:val="20"/>
              </w:rPr>
              <w:t xml:space="preserve">Suzuki</w:t>
            </w:r>
          </w:p>
        </w:tc>
        <w:tc>
          <w:tcPr>
            <w:tcW w:type="dxa" w:w="3000"/>
          </w:tcPr>
          <w:p>
            <w:r>
              <w:rPr>
                <w:sz w:val="20"/>
                <w:szCs w:val="20"/>
              </w:rPr>
              <w:t xml:space="preserve">2,657</w:t>
            </w:r>
          </w:p>
        </w:tc>
        <w:tc>
          <w:tcPr>
            <w:tcW w:type="dxa" w:w="3000"/>
          </w:tcPr>
          <w:p>
            <w:r>
              <w:rPr>
                <w:sz w:val="20"/>
                <w:szCs w:val="20"/>
              </w:rPr>
              <w:t xml:space="preserve">26.6%</w:t>
            </w:r>
          </w:p>
        </w:tc>
      </w:tr>
      <w:tr>
        <w:tc>
          <w:tcPr>
            <w:tcW w:type="dxa" w:w="3000"/>
            <w:shd w:fill="F2F5FA" w:color="auto" w:val="clear"/>
          </w:tcPr>
          <w:p>
            <w:r>
              <w:rPr>
                <w:sz w:val="20"/>
                <w:szCs w:val="20"/>
              </w:rPr>
              <w:t xml:space="preserve">Toyota</w:t>
            </w:r>
          </w:p>
        </w:tc>
        <w:tc>
          <w:tcPr>
            <w:tcW w:type="dxa" w:w="3000"/>
            <w:shd w:fill="F2F5FA" w:color="auto" w:val="clear"/>
          </w:tcPr>
          <w:p>
            <w:r>
              <w:rPr>
                <w:sz w:val="20"/>
                <w:szCs w:val="20"/>
              </w:rPr>
              <w:t xml:space="preserve">2,351</w:t>
            </w:r>
          </w:p>
        </w:tc>
        <w:tc>
          <w:tcPr>
            <w:tcW w:type="dxa" w:w="3000"/>
            <w:shd w:fill="F2F5FA" w:color="auto" w:val="clear"/>
          </w:tcPr>
          <w:p>
            <w:r>
              <w:rPr>
                <w:sz w:val="20"/>
                <w:szCs w:val="20"/>
              </w:rPr>
              <w:t xml:space="preserve">23.5%</w:t>
            </w:r>
          </w:p>
        </w:tc>
      </w:tr>
      <w:tr>
        <w:tc>
          <w:tcPr>
            <w:tcW w:type="dxa" w:w="3000"/>
          </w:tcPr>
          <w:p>
            <w:r>
              <w:rPr>
                <w:sz w:val="20"/>
                <w:szCs w:val="20"/>
              </w:rPr>
              <w:t xml:space="preserve">Honda</w:t>
            </w:r>
          </w:p>
        </w:tc>
        <w:tc>
          <w:tcPr>
            <w:tcW w:type="dxa" w:w="3000"/>
          </w:tcPr>
          <w:p>
            <w:r>
              <w:rPr>
                <w:sz w:val="20"/>
                <w:szCs w:val="20"/>
              </w:rPr>
              <w:t xml:space="preserve">1,773</w:t>
            </w:r>
          </w:p>
        </w:tc>
        <w:tc>
          <w:tcPr>
            <w:tcW w:type="dxa" w:w="3000"/>
          </w:tcPr>
          <w:p>
            <w:r>
              <w:rPr>
                <w:sz w:val="20"/>
                <w:szCs w:val="20"/>
              </w:rPr>
              <w:t xml:space="preserve">17.8%</w:t>
            </w:r>
          </w:p>
        </w:tc>
      </w:tr>
      <w:tr>
        <w:tc>
          <w:tcPr>
            <w:tcW w:type="dxa" w:w="3000"/>
            <w:shd w:fill="F2F5FA" w:color="auto" w:val="clear"/>
          </w:tcPr>
          <w:p>
            <w:r>
              <w:rPr>
                <w:sz w:val="20"/>
                <w:szCs w:val="20"/>
              </w:rPr>
              <w:t xml:space="preserve">KIA</w:t>
            </w:r>
          </w:p>
        </w:tc>
        <w:tc>
          <w:tcPr>
            <w:tcW w:type="dxa" w:w="3000"/>
            <w:shd w:fill="F2F5FA" w:color="auto" w:val="clear"/>
          </w:tcPr>
          <w:p>
            <w:r>
              <w:rPr>
                <w:sz w:val="20"/>
                <w:szCs w:val="20"/>
              </w:rPr>
              <w:t xml:space="preserve">664</w:t>
            </w:r>
          </w:p>
        </w:tc>
        <w:tc>
          <w:tcPr>
            <w:tcW w:type="dxa" w:w="3000"/>
            <w:shd w:fill="F2F5FA" w:color="auto" w:val="clear"/>
          </w:tcPr>
          <w:p>
            <w:r>
              <w:rPr>
                <w:sz w:val="20"/>
                <w:szCs w:val="20"/>
              </w:rPr>
              <w:t xml:space="preserve">6.6%</w:t>
            </w:r>
          </w:p>
        </w:tc>
      </w:tr>
      <w:tr>
        <w:tc>
          <w:tcPr>
            <w:tcW w:type="dxa" w:w="3000"/>
          </w:tcPr>
          <w:p>
            <w:r>
              <w:rPr>
                <w:sz w:val="20"/>
                <w:szCs w:val="20"/>
              </w:rPr>
              <w:t xml:space="preserve">Daihatsu</w:t>
            </w:r>
          </w:p>
        </w:tc>
        <w:tc>
          <w:tcPr>
            <w:tcW w:type="dxa" w:w="3000"/>
          </w:tcPr>
          <w:p>
            <w:r>
              <w:rPr>
                <w:sz w:val="20"/>
                <w:szCs w:val="20"/>
              </w:rPr>
              <w:t xml:space="preserve">557</w:t>
            </w:r>
          </w:p>
        </w:tc>
        <w:tc>
          <w:tcPr>
            <w:tcW w:type="dxa" w:w="3000"/>
          </w:tcPr>
          <w:p>
            <w:r>
              <w:rPr>
                <w:sz w:val="20"/>
                <w:szCs w:val="20"/>
              </w:rPr>
              <w:t xml:space="preserve">5.6%</w:t>
            </w:r>
          </w:p>
        </w:tc>
      </w:tr>
      <w:tr>
        <w:tc>
          <w:tcPr>
            <w:tcW w:type="dxa" w:w="3000"/>
            <w:shd w:fill="F2F5FA" w:color="auto" w:val="clear"/>
          </w:tcPr>
          <w:p>
            <w:r>
              <w:rPr>
                <w:sz w:val="20"/>
                <w:szCs w:val="20"/>
              </w:rPr>
              <w:t xml:space="preserve">Hyundai</w:t>
            </w:r>
          </w:p>
        </w:tc>
        <w:tc>
          <w:tcPr>
            <w:tcW w:type="dxa" w:w="3000"/>
            <w:shd w:fill="F2F5FA" w:color="auto" w:val="clear"/>
          </w:tcPr>
          <w:p>
            <w:r>
              <w:rPr>
                <w:sz w:val="20"/>
                <w:szCs w:val="20"/>
              </w:rPr>
              <w:t xml:space="preserve">475</w:t>
            </w:r>
          </w:p>
        </w:tc>
        <w:tc>
          <w:tcPr>
            <w:tcW w:type="dxa" w:w="3000"/>
            <w:shd w:fill="F2F5FA" w:color="auto" w:val="clear"/>
          </w:tcPr>
          <w:p>
            <w:r>
              <w:rPr>
                <w:sz w:val="20"/>
                <w:szCs w:val="20"/>
              </w:rPr>
              <w:t xml:space="preserve">4.8%</w:t>
            </w:r>
          </w:p>
        </w:tc>
      </w:tr>
      <w:tr>
        <w:tc>
          <w:tcPr>
            <w:tcW w:type="dxa" w:w="3000"/>
          </w:tcPr>
          <w:p>
            <w:r>
              <w:rPr>
                <w:sz w:val="20"/>
                <w:szCs w:val="20"/>
              </w:rPr>
              <w:t xml:space="preserve">Changan</w:t>
            </w:r>
          </w:p>
        </w:tc>
        <w:tc>
          <w:tcPr>
            <w:tcW w:type="dxa" w:w="3000"/>
          </w:tcPr>
          <w:p>
            <w:r>
              <w:rPr>
                <w:sz w:val="20"/>
                <w:szCs w:val="20"/>
              </w:rPr>
              <w:t xml:space="preserve">396</w:t>
            </w:r>
          </w:p>
        </w:tc>
        <w:tc>
          <w:tcPr>
            <w:tcW w:type="dxa" w:w="3000"/>
          </w:tcPr>
          <w:p>
            <w:r>
              <w:rPr>
                <w:sz w:val="20"/>
                <w:szCs w:val="20"/>
              </w:rPr>
              <w:t xml:space="preserve">4.0%</w:t>
            </w:r>
          </w:p>
        </w:tc>
      </w:tr>
      <w:tr>
        <w:tc>
          <w:tcPr>
            <w:tcW w:type="dxa" w:w="3000"/>
            <w:shd w:fill="F2F5FA" w:color="auto" w:val="clear"/>
          </w:tcPr>
          <w:p>
            <w:r>
              <w:rPr>
                <w:sz w:val="20"/>
                <w:szCs w:val="20"/>
              </w:rPr>
              <w:t xml:space="preserve">Nissan</w:t>
            </w:r>
          </w:p>
        </w:tc>
        <w:tc>
          <w:tcPr>
            <w:tcW w:type="dxa" w:w="3000"/>
            <w:shd w:fill="F2F5FA" w:color="auto" w:val="clear"/>
          </w:tcPr>
          <w:p>
            <w:r>
              <w:rPr>
                <w:sz w:val="20"/>
                <w:szCs w:val="20"/>
              </w:rPr>
              <w:t xml:space="preserve">375</w:t>
            </w:r>
          </w:p>
        </w:tc>
        <w:tc>
          <w:tcPr>
            <w:tcW w:type="dxa" w:w="3000"/>
            <w:shd w:fill="F2F5FA" w:color="auto" w:val="clear"/>
          </w:tcPr>
          <w:p>
            <w:r>
              <w:rPr>
                <w:sz w:val="20"/>
                <w:szCs w:val="20"/>
              </w:rPr>
              <w:t xml:space="preserve">3.8%</w:t>
            </w:r>
          </w:p>
        </w:tc>
      </w:tr>
      <w:tr>
        <w:tc>
          <w:tcPr>
            <w:tcW w:type="dxa" w:w="3000"/>
          </w:tcPr>
          <w:p>
            <w:r>
              <w:rPr>
                <w:sz w:val="20"/>
                <w:szCs w:val="20"/>
              </w:rPr>
              <w:t xml:space="preserve">MG</w:t>
            </w:r>
          </w:p>
        </w:tc>
        <w:tc>
          <w:tcPr>
            <w:tcW w:type="dxa" w:w="3000"/>
          </w:tcPr>
          <w:p>
            <w:r>
              <w:rPr>
                <w:sz w:val="20"/>
                <w:szCs w:val="20"/>
              </w:rPr>
              <w:t xml:space="preserve">323</w:t>
            </w:r>
          </w:p>
        </w:tc>
        <w:tc>
          <w:tcPr>
            <w:tcW w:type="dxa" w:w="3000"/>
          </w:tcPr>
          <w:p>
            <w:r>
              <w:rPr>
                <w:sz w:val="20"/>
                <w:szCs w:val="20"/>
              </w:rPr>
              <w:t xml:space="preserve">3.2%</w:t>
            </w:r>
          </w:p>
        </w:tc>
      </w:tr>
      <w:tr>
        <w:tc>
          <w:tcPr>
            <w:tcW w:type="dxa" w:w="3000"/>
            <w:shd w:fill="F2F5FA" w:color="auto" w:val="clear"/>
          </w:tcPr>
          <w:p>
            <w:r>
              <w:rPr>
                <w:sz w:val="20"/>
                <w:szCs w:val="20"/>
              </w:rPr>
              <w:t xml:space="preserve">Mitsubishi</w:t>
            </w:r>
          </w:p>
        </w:tc>
        <w:tc>
          <w:tcPr>
            <w:tcW w:type="dxa" w:w="3000"/>
            <w:shd w:fill="F2F5FA" w:color="auto" w:val="clear"/>
          </w:tcPr>
          <w:p>
            <w:r>
              <w:rPr>
                <w:sz w:val="20"/>
                <w:szCs w:val="20"/>
              </w:rPr>
              <w:t xml:space="preserve">208</w:t>
            </w:r>
          </w:p>
        </w:tc>
        <w:tc>
          <w:tcPr>
            <w:tcW w:type="dxa" w:w="3000"/>
            <w:shd w:fill="F2F5FA" w:color="auto" w:val="clear"/>
          </w:tcPr>
          <w:p>
            <w:r>
              <w:rPr>
                <w:sz w:val="20"/>
                <w:szCs w:val="20"/>
              </w:rPr>
              <w:t xml:space="preserve">2.1%</w:t>
            </w:r>
          </w:p>
        </w:tc>
      </w:tr>
      <w:tr>
        <w:tc>
          <w:tcPr>
            <w:tcW w:type="dxa" w:w="3000"/>
          </w:tcPr>
          <w:p>
            <w:r>
              <w:rPr>
                <w:sz w:val="20"/>
                <w:szCs w:val="20"/>
              </w:rPr>
              <w:t xml:space="preserve">Proton</w:t>
            </w:r>
          </w:p>
        </w:tc>
        <w:tc>
          <w:tcPr>
            <w:tcW w:type="dxa" w:w="3000"/>
          </w:tcPr>
          <w:p>
            <w:r>
              <w:rPr>
                <w:sz w:val="20"/>
                <w:szCs w:val="20"/>
              </w:rPr>
              <w:t xml:space="preserve">207</w:t>
            </w:r>
          </w:p>
        </w:tc>
        <w:tc>
          <w:tcPr>
            <w:tcW w:type="dxa" w:w="3000"/>
          </w:tcPr>
          <w:p>
            <w:r>
              <w:rPr>
                <w:sz w:val="20"/>
                <w:szCs w:val="20"/>
              </w:rPr>
              <w:t xml:space="preserve">2.1%</w:t>
            </w:r>
          </w:p>
        </w:tc>
      </w:tr>
    </w:tbl>
    <w:p>
      <w:pPr>
        <w:spacing w:after="120"/>
      </w:pPr>
      <w:r>
        <w:rPr>
          <w:i/>
          <w:iCs/>
          <w:sz w:val="20"/>
          <w:szCs w:val="20"/>
        </w:rPr>
        <w:t xml:space="preserve">Observation: Suzuki, Toyota, and Honda together account for roughly 68% of all listings, confirming that these three brands dominate Pakistan's used car market — consistent with their long-standing presence and affordable/mid-range positioning.</w:t>
      </w:r>
    </w:p>
    <w:p>
      <w:pPr>
        <w:pStyle w:val="Heading1"/>
        <w:spacing w:after="150" w:before="300"/>
      </w:pPr>
      <w:r>
        <w:t xml:space="preserve">3. Vehicle Model Analysis</w:t>
      </w:r>
    </w:p>
    <w:p>
      <w:pPr>
        <w:spacing w:after="120"/>
      </w:pPr>
      <w:r>
        <w:t xml:space="preserve">The top models by listing count were identified using value counts on the Model column. Entry-level and commercial-use models such as Every, Bolan, Cultus, Mehran, and the Alto variants appeared frequently among the top 10, reflecting strong demand for compact and economical vehicles in the used car segment.</w:t>
      </w:r>
    </w:p>
    <w:p>
      <w:pPr>
        <w:pStyle w:val="Heading1"/>
        <w:spacing w:after="150" w:before="300"/>
      </w:pPr>
      <w:r>
        <w:t xml:space="preserve">4. Manufacturing Year Analysis</w:t>
      </w:r>
    </w:p>
    <w:p>
      <w:pPr>
        <w:spacing w:after="120"/>
      </w:pPr>
      <w:r>
        <w:t xml:space="preserve">A histogram of Manufacturing_Year was plotted to observe the age distribution of listed vehicles.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8" w:color="auto" w:val="clear"/>
          </w:tcPr>
          <w:p>
            <w:r>
              <w:rPr>
                <w:b/>
                <w:bCs/>
                <w:color w:val="FFFFFF"/>
                <w:sz w:val="20"/>
                <w:szCs w:val="20"/>
              </w:rPr>
              <w:t xml:space="preserve">Statistic</w:t>
            </w:r>
          </w:p>
        </w:tc>
        <w:tc>
          <w:tcPr>
            <w:tcW w:type="dxa" w:w="4500"/>
            <w:shd w:fill="1F4E78" w:color="auto" w:val="clear"/>
          </w:tcPr>
          <w:p>
            <w:r>
              <w:rPr>
                <w:b/>
                <w:bCs/>
                <w:color w:val="FFFFFF"/>
                <w:sz w:val="20"/>
                <w:szCs w:val="20"/>
              </w:rPr>
              <w:t xml:space="preserve">Value</w:t>
            </w:r>
          </w:p>
        </w:tc>
      </w:tr>
      <w:tr>
        <w:tc>
          <w:tcPr>
            <w:tcW w:type="dxa" w:w="4500"/>
          </w:tcPr>
          <w:p>
            <w:r>
              <w:rPr>
                <w:sz w:val="20"/>
                <w:szCs w:val="20"/>
              </w:rPr>
              <w:t xml:space="preserve">Count</w:t>
            </w:r>
          </w:p>
        </w:tc>
        <w:tc>
          <w:tcPr>
            <w:tcW w:type="dxa" w:w="4500"/>
          </w:tcPr>
          <w:p>
            <w:r>
              <w:rPr>
                <w:sz w:val="20"/>
                <w:szCs w:val="20"/>
              </w:rPr>
              <w:t xml:space="preserve">9,986</w:t>
            </w:r>
          </w:p>
        </w:tc>
      </w:tr>
      <w:tr>
        <w:tc>
          <w:tcPr>
            <w:tcW w:type="dxa" w:w="4500"/>
            <w:shd w:fill="F2F5FA" w:color="auto" w:val="clear"/>
          </w:tcPr>
          <w:p>
            <w:r>
              <w:rPr>
                <w:sz w:val="20"/>
                <w:szCs w:val="20"/>
              </w:rPr>
              <w:t xml:space="preserve">Mean Year</w:t>
            </w:r>
          </w:p>
        </w:tc>
        <w:tc>
          <w:tcPr>
            <w:tcW w:type="dxa" w:w="4500"/>
            <w:shd w:fill="F2F5FA" w:color="auto" w:val="clear"/>
          </w:tcPr>
          <w:p>
            <w:r>
              <w:rPr>
                <w:sz w:val="20"/>
                <w:szCs w:val="20"/>
              </w:rPr>
              <w:t xml:space="preserve">2014.5</w:t>
            </w:r>
          </w:p>
        </w:tc>
      </w:tr>
      <w:tr>
        <w:tc>
          <w:tcPr>
            <w:tcW w:type="dxa" w:w="4500"/>
          </w:tcPr>
          <w:p>
            <w:r>
              <w:rPr>
                <w:sz w:val="20"/>
                <w:szCs w:val="20"/>
              </w:rPr>
              <w:t xml:space="preserve">Std. Deviation</w:t>
            </w:r>
          </w:p>
        </w:tc>
        <w:tc>
          <w:tcPr>
            <w:tcW w:type="dxa" w:w="4500"/>
          </w:tcPr>
          <w:p>
            <w:r>
              <w:rPr>
                <w:sz w:val="20"/>
                <w:szCs w:val="20"/>
              </w:rPr>
              <w:t xml:space="preserve">6.3 years</w:t>
            </w:r>
          </w:p>
        </w:tc>
      </w:tr>
      <w:tr>
        <w:tc>
          <w:tcPr>
            <w:tcW w:type="dxa" w:w="4500"/>
            <w:shd w:fill="F2F5FA" w:color="auto" w:val="clear"/>
          </w:tcPr>
          <w:p>
            <w:r>
              <w:rPr>
                <w:sz w:val="20"/>
                <w:szCs w:val="20"/>
              </w:rPr>
              <w:t xml:space="preserve">Minimum Year</w:t>
            </w:r>
          </w:p>
        </w:tc>
        <w:tc>
          <w:tcPr>
            <w:tcW w:type="dxa" w:w="4500"/>
            <w:shd w:fill="F2F5FA" w:color="auto" w:val="clear"/>
          </w:tcPr>
          <w:p>
            <w:r>
              <w:rPr>
                <w:sz w:val="20"/>
                <w:szCs w:val="20"/>
              </w:rPr>
              <w:t xml:space="preserve">2004</w:t>
            </w:r>
          </w:p>
        </w:tc>
      </w:tr>
      <w:tr>
        <w:tc>
          <w:tcPr>
            <w:tcW w:type="dxa" w:w="4500"/>
          </w:tcPr>
          <w:p>
            <w:r>
              <w:rPr>
                <w:sz w:val="20"/>
                <w:szCs w:val="20"/>
              </w:rPr>
              <w:t xml:space="preserve">Maximum Year</w:t>
            </w:r>
          </w:p>
        </w:tc>
        <w:tc>
          <w:tcPr>
            <w:tcW w:type="dxa" w:w="4500"/>
          </w:tcPr>
          <w:p>
            <w:r>
              <w:rPr>
                <w:sz w:val="20"/>
                <w:szCs w:val="20"/>
              </w:rPr>
              <w:t xml:space="preserve">2025</w:t>
            </w:r>
          </w:p>
        </w:tc>
      </w:tr>
    </w:tbl>
    <w:p>
      <w:pPr>
        <w:spacing w:after="120"/>
      </w:pPr>
      <w:r>
        <w:rPr>
          <w:i/>
          <w:iCs/>
          <w:sz w:val="20"/>
          <w:szCs w:val="20"/>
        </w:rPr>
        <w:t xml:space="preserve">Observation: Listings span a valid 2004-2025 range following the removal of invalid year entries in Day 1. The distribution shows a healthy mix of older and newer vehicles, with a notable concentration of very recent (2024-2025) listings alongside a large cluster of vehicles from the mid-2000s.</w:t>
      </w:r>
    </w:p>
    <w:p>
      <w:pPr>
        <w:pStyle w:val="Heading1"/>
        <w:spacing w:after="150" w:before="300"/>
      </w:pPr>
      <w:r>
        <w:t xml:space="preserve">5. Fuel Type Analysis</w:t>
      </w:r>
    </w:p>
    <w:p>
      <w:pPr>
        <w:spacing w:after="120"/>
      </w:pPr>
      <w:r>
        <w:t xml:space="preserve">A pie chart was used to visualize the share of each fuel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8" w:color="auto" w:val="clear"/>
          </w:tcPr>
          <w:p>
            <w:r>
              <w:rPr>
                <w:b/>
                <w:bCs/>
                <w:color w:val="FFFFFF"/>
                <w:sz w:val="20"/>
                <w:szCs w:val="20"/>
              </w:rPr>
              <w:t xml:space="preserve">Fuel Type</w:t>
            </w:r>
          </w:p>
        </w:tc>
        <w:tc>
          <w:tcPr>
            <w:tcW w:type="dxa" w:w="3000"/>
            <w:shd w:fill="1F4E78" w:color="auto" w:val="clear"/>
          </w:tcPr>
          <w:p>
            <w:r>
              <w:rPr>
                <w:b/>
                <w:bCs/>
                <w:color w:val="FFFFFF"/>
                <w:sz w:val="20"/>
                <w:szCs w:val="20"/>
              </w:rPr>
              <w:t xml:space="preserve">Count</w:t>
            </w:r>
          </w:p>
        </w:tc>
        <w:tc>
          <w:tcPr>
            <w:tcW w:type="dxa" w:w="3000"/>
            <w:shd w:fill="1F4E78" w:color="auto" w:val="clear"/>
          </w:tcPr>
          <w:p>
            <w:r>
              <w:rPr>
                <w:b/>
                <w:bCs/>
                <w:color w:val="FFFFFF"/>
                <w:sz w:val="20"/>
                <w:szCs w:val="20"/>
              </w:rPr>
              <w:t xml:space="preserve">Share (%)</w:t>
            </w:r>
          </w:p>
        </w:tc>
      </w:tr>
      <w:tr>
        <w:tc>
          <w:tcPr>
            <w:tcW w:type="dxa" w:w="3000"/>
          </w:tcPr>
          <w:p>
            <w:r>
              <w:rPr>
                <w:sz w:val="20"/>
                <w:szCs w:val="20"/>
              </w:rPr>
              <w:t xml:space="preserve">Petrol</w:t>
            </w:r>
          </w:p>
        </w:tc>
        <w:tc>
          <w:tcPr>
            <w:tcW w:type="dxa" w:w="3000"/>
          </w:tcPr>
          <w:p>
            <w:r>
              <w:rPr>
                <w:sz w:val="20"/>
                <w:szCs w:val="20"/>
              </w:rPr>
              <w:t xml:space="preserve">6,676</w:t>
            </w:r>
          </w:p>
        </w:tc>
        <w:tc>
          <w:tcPr>
            <w:tcW w:type="dxa" w:w="3000"/>
          </w:tcPr>
          <w:p>
            <w:r>
              <w:rPr>
                <w:sz w:val="20"/>
                <w:szCs w:val="20"/>
              </w:rPr>
              <w:t xml:space="preserve">66.9%</w:t>
            </w:r>
          </w:p>
        </w:tc>
      </w:tr>
      <w:tr>
        <w:tc>
          <w:tcPr>
            <w:tcW w:type="dxa" w:w="3000"/>
            <w:shd w:fill="F2F5FA" w:color="auto" w:val="clear"/>
          </w:tcPr>
          <w:p>
            <w:r>
              <w:rPr>
                <w:sz w:val="20"/>
                <w:szCs w:val="20"/>
              </w:rPr>
              <w:t xml:space="preserve">Hybrid</w:t>
            </w:r>
          </w:p>
        </w:tc>
        <w:tc>
          <w:tcPr>
            <w:tcW w:type="dxa" w:w="3000"/>
            <w:shd w:fill="F2F5FA" w:color="auto" w:val="clear"/>
          </w:tcPr>
          <w:p>
            <w:r>
              <w:rPr>
                <w:sz w:val="20"/>
                <w:szCs w:val="20"/>
              </w:rPr>
              <w:t xml:space="preserve">1,254</w:t>
            </w:r>
          </w:p>
        </w:tc>
        <w:tc>
          <w:tcPr>
            <w:tcW w:type="dxa" w:w="3000"/>
            <w:shd w:fill="F2F5FA" w:color="auto" w:val="clear"/>
          </w:tcPr>
          <w:p>
            <w:r>
              <w:rPr>
                <w:sz w:val="20"/>
                <w:szCs w:val="20"/>
              </w:rPr>
              <w:t xml:space="preserve">12.6%</w:t>
            </w:r>
          </w:p>
        </w:tc>
      </w:tr>
      <w:tr>
        <w:tc>
          <w:tcPr>
            <w:tcW w:type="dxa" w:w="3000"/>
          </w:tcPr>
          <w:p>
            <w:r>
              <w:rPr>
                <w:sz w:val="20"/>
                <w:szCs w:val="20"/>
              </w:rPr>
              <w:t xml:space="preserve">Diesel</w:t>
            </w:r>
          </w:p>
        </w:tc>
        <w:tc>
          <w:tcPr>
            <w:tcW w:type="dxa" w:w="3000"/>
          </w:tcPr>
          <w:p>
            <w:r>
              <w:rPr>
                <w:sz w:val="20"/>
                <w:szCs w:val="20"/>
              </w:rPr>
              <w:t xml:space="preserve">1,081</w:t>
            </w:r>
          </w:p>
        </w:tc>
        <w:tc>
          <w:tcPr>
            <w:tcW w:type="dxa" w:w="3000"/>
          </w:tcPr>
          <w:p>
            <w:r>
              <w:rPr>
                <w:sz w:val="20"/>
                <w:szCs w:val="20"/>
              </w:rPr>
              <w:t xml:space="preserve">10.8%</w:t>
            </w:r>
          </w:p>
        </w:tc>
      </w:tr>
      <w:tr>
        <w:tc>
          <w:tcPr>
            <w:tcW w:type="dxa" w:w="3000"/>
            <w:shd w:fill="F2F5FA" w:color="auto" w:val="clear"/>
          </w:tcPr>
          <w:p>
            <w:r>
              <w:rPr>
                <w:sz w:val="20"/>
                <w:szCs w:val="20"/>
              </w:rPr>
              <w:t xml:space="preserve">CNG</w:t>
            </w:r>
          </w:p>
        </w:tc>
        <w:tc>
          <w:tcPr>
            <w:tcW w:type="dxa" w:w="3000"/>
            <w:shd w:fill="F2F5FA" w:color="auto" w:val="clear"/>
          </w:tcPr>
          <w:p>
            <w:r>
              <w:rPr>
                <w:sz w:val="20"/>
                <w:szCs w:val="20"/>
              </w:rPr>
              <w:t xml:space="preserve">975</w:t>
            </w:r>
          </w:p>
        </w:tc>
        <w:tc>
          <w:tcPr>
            <w:tcW w:type="dxa" w:w="3000"/>
            <w:shd w:fill="F2F5FA" w:color="auto" w:val="clear"/>
          </w:tcPr>
          <w:p>
            <w:r>
              <w:rPr>
                <w:sz w:val="20"/>
                <w:szCs w:val="20"/>
              </w:rPr>
              <w:t xml:space="preserve">9.8%</w:t>
            </w:r>
          </w:p>
        </w:tc>
      </w:tr>
    </w:tbl>
    <w:p>
      <w:pPr>
        <w:spacing w:after="120"/>
      </w:pPr>
      <w:r>
        <w:rPr>
          <w:i/>
          <w:iCs/>
          <w:sz w:val="20"/>
          <w:szCs w:val="20"/>
        </w:rPr>
        <w:t xml:space="preserve">Observation: Petrol remains the dominant fuel type by a wide margin, though Hybrid vehicles have a meaningful ~12.6% share, indicating growing consumer interest in fuel-efficient/hybrid technology in the used car market.</w:t>
      </w:r>
    </w:p>
    <w:p>
      <w:pPr>
        <w:pStyle w:val="Heading1"/>
        <w:spacing w:after="150" w:before="300"/>
      </w:pPr>
      <w:r>
        <w:t xml:space="preserve">6. Transmission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8" w:color="auto" w:val="clear"/>
          </w:tcPr>
          <w:p>
            <w:r>
              <w:rPr>
                <w:b/>
                <w:bCs/>
                <w:color w:val="FFFFFF"/>
                <w:sz w:val="20"/>
                <w:szCs w:val="20"/>
              </w:rPr>
              <w:t xml:space="preserve">Transmission</w:t>
            </w:r>
          </w:p>
        </w:tc>
        <w:tc>
          <w:tcPr>
            <w:tcW w:type="dxa" w:w="3000"/>
            <w:shd w:fill="1F4E78" w:color="auto" w:val="clear"/>
          </w:tcPr>
          <w:p>
            <w:r>
              <w:rPr>
                <w:b/>
                <w:bCs/>
                <w:color w:val="FFFFFF"/>
                <w:sz w:val="20"/>
                <w:szCs w:val="20"/>
              </w:rPr>
              <w:t xml:space="preserve">Count</w:t>
            </w:r>
          </w:p>
        </w:tc>
        <w:tc>
          <w:tcPr>
            <w:tcW w:type="dxa" w:w="3000"/>
            <w:shd w:fill="1F4E78" w:color="auto" w:val="clear"/>
          </w:tcPr>
          <w:p>
            <w:r>
              <w:rPr>
                <w:b/>
                <w:bCs/>
                <w:color w:val="FFFFFF"/>
                <w:sz w:val="20"/>
                <w:szCs w:val="20"/>
              </w:rPr>
              <w:t xml:space="preserve">Share (%)</w:t>
            </w:r>
          </w:p>
        </w:tc>
      </w:tr>
      <w:tr>
        <w:tc>
          <w:tcPr>
            <w:tcW w:type="dxa" w:w="3000"/>
          </w:tcPr>
          <w:p>
            <w:r>
              <w:rPr>
                <w:sz w:val="20"/>
                <w:szCs w:val="20"/>
              </w:rPr>
              <w:t xml:space="preserve">Automatic</w:t>
            </w:r>
          </w:p>
        </w:tc>
        <w:tc>
          <w:tcPr>
            <w:tcW w:type="dxa" w:w="3000"/>
          </w:tcPr>
          <w:p>
            <w:r>
              <w:rPr>
                <w:sz w:val="20"/>
                <w:szCs w:val="20"/>
              </w:rPr>
              <w:t xml:space="preserve">7,502</w:t>
            </w:r>
          </w:p>
        </w:tc>
        <w:tc>
          <w:tcPr>
            <w:tcW w:type="dxa" w:w="3000"/>
          </w:tcPr>
          <w:p>
            <w:r>
              <w:rPr>
                <w:sz w:val="20"/>
                <w:szCs w:val="20"/>
              </w:rPr>
              <w:t xml:space="preserve">75.1%</w:t>
            </w:r>
          </w:p>
        </w:tc>
      </w:tr>
      <w:tr>
        <w:tc>
          <w:tcPr>
            <w:tcW w:type="dxa" w:w="3000"/>
            <w:shd w:fill="F2F5FA" w:color="auto" w:val="clear"/>
          </w:tcPr>
          <w:p>
            <w:r>
              <w:rPr>
                <w:sz w:val="20"/>
                <w:szCs w:val="20"/>
              </w:rPr>
              <w:t xml:space="preserve">Manual</w:t>
            </w:r>
          </w:p>
        </w:tc>
        <w:tc>
          <w:tcPr>
            <w:tcW w:type="dxa" w:w="3000"/>
            <w:shd w:fill="F2F5FA" w:color="auto" w:val="clear"/>
          </w:tcPr>
          <w:p>
            <w:r>
              <w:rPr>
                <w:sz w:val="20"/>
                <w:szCs w:val="20"/>
              </w:rPr>
              <w:t xml:space="preserve">2,484</w:t>
            </w:r>
          </w:p>
        </w:tc>
        <w:tc>
          <w:tcPr>
            <w:tcW w:type="dxa" w:w="3000"/>
            <w:shd w:fill="F2F5FA" w:color="auto" w:val="clear"/>
          </w:tcPr>
          <w:p>
            <w:r>
              <w:rPr>
                <w:sz w:val="20"/>
                <w:szCs w:val="20"/>
              </w:rPr>
              <w:t xml:space="preserve">24.9%</w:t>
            </w:r>
          </w:p>
        </w:tc>
      </w:tr>
    </w:tbl>
    <w:p>
      <w:pPr>
        <w:spacing w:after="120"/>
      </w:pPr>
      <w:r>
        <w:rPr>
          <w:i/>
          <w:iCs/>
          <w:sz w:val="20"/>
          <w:szCs w:val="20"/>
        </w:rPr>
        <w:t xml:space="preserve">Observation: Automatic transmission vehicles heavily outnumber manual ones (roughly 3-to-1), reflecting a strong shift in consumer preference toward automatic vehicles in recent years.</w:t>
      </w:r>
    </w:p>
    <w:p>
      <w:pPr>
        <w:pStyle w:val="Heading1"/>
        <w:spacing w:after="150" w:before="300"/>
      </w:pPr>
      <w:r>
        <w:t xml:space="preserve">7. Engine Capacity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8" w:color="auto" w:val="clear"/>
          </w:tcPr>
          <w:p>
            <w:r>
              <w:rPr>
                <w:b/>
                <w:bCs/>
                <w:color w:val="FFFFFF"/>
                <w:sz w:val="20"/>
                <w:szCs w:val="20"/>
              </w:rPr>
              <w:t xml:space="preserve">Statistic</w:t>
            </w:r>
          </w:p>
        </w:tc>
        <w:tc>
          <w:tcPr>
            <w:tcW w:type="dxa" w:w="4500"/>
            <w:shd w:fill="1F4E78" w:color="auto" w:val="clear"/>
          </w:tcPr>
          <w:p>
            <w:r>
              <w:rPr>
                <w:b/>
                <w:bCs/>
                <w:color w:val="FFFFFF"/>
                <w:sz w:val="20"/>
                <w:szCs w:val="20"/>
              </w:rPr>
              <w:t xml:space="preserve">Value (cc)</w:t>
            </w:r>
          </w:p>
        </w:tc>
      </w:tr>
      <w:tr>
        <w:tc>
          <w:tcPr>
            <w:tcW w:type="dxa" w:w="4500"/>
          </w:tcPr>
          <w:p>
            <w:r>
              <w:rPr>
                <w:sz w:val="20"/>
                <w:szCs w:val="20"/>
              </w:rPr>
              <w:t xml:space="preserve">Count</w:t>
            </w:r>
          </w:p>
        </w:tc>
        <w:tc>
          <w:tcPr>
            <w:tcW w:type="dxa" w:w="4500"/>
          </w:tcPr>
          <w:p>
            <w:r>
              <w:rPr>
                <w:sz w:val="20"/>
                <w:szCs w:val="20"/>
              </w:rPr>
              <w:t xml:space="preserve">9,986</w:t>
            </w:r>
          </w:p>
        </w:tc>
      </w:tr>
      <w:tr>
        <w:tc>
          <w:tcPr>
            <w:tcW w:type="dxa" w:w="4500"/>
            <w:shd w:fill="F2F5FA" w:color="auto" w:val="clear"/>
          </w:tcPr>
          <w:p>
            <w:r>
              <w:rPr>
                <w:sz w:val="20"/>
                <w:szCs w:val="20"/>
              </w:rPr>
              <w:t xml:space="preserve">Mean</w:t>
            </w:r>
          </w:p>
        </w:tc>
        <w:tc>
          <w:tcPr>
            <w:tcW w:type="dxa" w:w="4500"/>
            <w:shd w:fill="F2F5FA" w:color="auto" w:val="clear"/>
          </w:tcPr>
          <w:p>
            <w:r>
              <w:rPr>
                <w:sz w:val="20"/>
                <w:szCs w:val="20"/>
              </w:rPr>
              <w:t xml:space="preserve">1,541</w:t>
            </w:r>
          </w:p>
        </w:tc>
      </w:tr>
      <w:tr>
        <w:tc>
          <w:tcPr>
            <w:tcW w:type="dxa" w:w="4500"/>
          </w:tcPr>
          <w:p>
            <w:r>
              <w:rPr>
                <w:sz w:val="20"/>
                <w:szCs w:val="20"/>
              </w:rPr>
              <w:t xml:space="preserve">Std. Deviation</w:t>
            </w:r>
          </w:p>
        </w:tc>
        <w:tc>
          <w:tcPr>
            <w:tcW w:type="dxa" w:w="4500"/>
          </w:tcPr>
          <w:p>
            <w:r>
              <w:rPr>
                <w:sz w:val="20"/>
                <w:szCs w:val="20"/>
              </w:rPr>
              <w:t xml:space="preserve">701</w:t>
            </w:r>
          </w:p>
        </w:tc>
      </w:tr>
      <w:tr>
        <w:tc>
          <w:tcPr>
            <w:tcW w:type="dxa" w:w="4500"/>
            <w:shd w:fill="F2F5FA" w:color="auto" w:val="clear"/>
          </w:tcPr>
          <w:p>
            <w:r>
              <w:rPr>
                <w:sz w:val="20"/>
                <w:szCs w:val="20"/>
              </w:rPr>
              <w:t xml:space="preserve">Minimum</w:t>
            </w:r>
          </w:p>
        </w:tc>
        <w:tc>
          <w:tcPr>
            <w:tcW w:type="dxa" w:w="4500"/>
            <w:shd w:fill="F2F5FA" w:color="auto" w:val="clear"/>
          </w:tcPr>
          <w:p>
            <w:r>
              <w:rPr>
                <w:sz w:val="20"/>
                <w:szCs w:val="20"/>
              </w:rPr>
              <w:t xml:space="preserve">660</w:t>
            </w:r>
          </w:p>
        </w:tc>
      </w:tr>
      <w:tr>
        <w:tc>
          <w:tcPr>
            <w:tcW w:type="dxa" w:w="4500"/>
          </w:tcPr>
          <w:p>
            <w:r>
              <w:rPr>
                <w:sz w:val="20"/>
                <w:szCs w:val="20"/>
              </w:rPr>
              <w:t xml:space="preserve">25th Percentile</w:t>
            </w:r>
          </w:p>
        </w:tc>
        <w:tc>
          <w:tcPr>
            <w:tcW w:type="dxa" w:w="4500"/>
          </w:tcPr>
          <w:p>
            <w:r>
              <w:rPr>
                <w:sz w:val="20"/>
                <w:szCs w:val="20"/>
              </w:rPr>
              <w:t xml:space="preserve">1,000</w:t>
            </w:r>
          </w:p>
        </w:tc>
      </w:tr>
      <w:tr>
        <w:tc>
          <w:tcPr>
            <w:tcW w:type="dxa" w:w="4500"/>
            <w:shd w:fill="F2F5FA" w:color="auto" w:val="clear"/>
          </w:tcPr>
          <w:p>
            <w:r>
              <w:rPr>
                <w:sz w:val="20"/>
                <w:szCs w:val="20"/>
              </w:rPr>
              <w:t xml:space="preserve">Median</w:t>
            </w:r>
          </w:p>
        </w:tc>
        <w:tc>
          <w:tcPr>
            <w:tcW w:type="dxa" w:w="4500"/>
            <w:shd w:fill="F2F5FA" w:color="auto" w:val="clear"/>
          </w:tcPr>
          <w:p>
            <w:r>
              <w:rPr>
                <w:sz w:val="20"/>
                <w:szCs w:val="20"/>
              </w:rPr>
              <w:t xml:space="preserve">1,500</w:t>
            </w:r>
          </w:p>
        </w:tc>
      </w:tr>
      <w:tr>
        <w:tc>
          <w:tcPr>
            <w:tcW w:type="dxa" w:w="4500"/>
          </w:tcPr>
          <w:p>
            <w:r>
              <w:rPr>
                <w:sz w:val="20"/>
                <w:szCs w:val="20"/>
              </w:rPr>
              <w:t xml:space="preserve">75th Percentile</w:t>
            </w:r>
          </w:p>
        </w:tc>
        <w:tc>
          <w:tcPr>
            <w:tcW w:type="dxa" w:w="4500"/>
          </w:tcPr>
          <w:p>
            <w:r>
              <w:rPr>
                <w:sz w:val="20"/>
                <w:szCs w:val="20"/>
              </w:rPr>
              <w:t xml:space="preserve">1,800</w:t>
            </w:r>
          </w:p>
        </w:tc>
      </w:tr>
      <w:tr>
        <w:tc>
          <w:tcPr>
            <w:tcW w:type="dxa" w:w="4500"/>
            <w:shd w:fill="F2F5FA" w:color="auto" w:val="clear"/>
          </w:tcPr>
          <w:p>
            <w:r>
              <w:rPr>
                <w:sz w:val="20"/>
                <w:szCs w:val="20"/>
              </w:rPr>
              <w:t xml:space="preserve">Maximum</w:t>
            </w:r>
          </w:p>
        </w:tc>
        <w:tc>
          <w:tcPr>
            <w:tcW w:type="dxa" w:w="4500"/>
            <w:shd w:fill="F2F5FA" w:color="auto" w:val="clear"/>
          </w:tcPr>
          <w:p>
            <w:r>
              <w:rPr>
                <w:sz w:val="20"/>
                <w:szCs w:val="20"/>
              </w:rPr>
              <w:t xml:space="preserve">4,000</w:t>
            </w:r>
          </w:p>
        </w:tc>
      </w:tr>
    </w:tbl>
    <w:p>
      <w:pPr>
        <w:spacing w:after="120"/>
      </w:pPr>
      <w:r>
        <w:rPr>
          <w:i/>
          <w:iCs/>
          <w:sz w:val="20"/>
          <w:szCs w:val="20"/>
        </w:rPr>
        <w:t xml:space="preserve">Observation: A box plot revealed a small number of high-capacity outliers (around 3,000-4,000cc), corresponding to SUVs and luxury vehicles such as Land Cruiser and Prado, while the bulk of the market sits between 1,000cc and 1,800cc — the typical compact/mid-size segment.</w:t>
      </w:r>
    </w:p>
    <w:p>
      <w:pPr>
        <w:pStyle w:val="Heading1"/>
        <w:spacing w:after="150" w:before="300"/>
      </w:pPr>
      <w:r>
        <w:t xml:space="preserve">8. Mileage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8" w:color="auto" w:val="clear"/>
          </w:tcPr>
          <w:p>
            <w:r>
              <w:rPr>
                <w:b/>
                <w:bCs/>
                <w:color w:val="FFFFFF"/>
                <w:sz w:val="20"/>
                <w:szCs w:val="20"/>
              </w:rPr>
              <w:t xml:space="preserve">Statistic</w:t>
            </w:r>
          </w:p>
        </w:tc>
        <w:tc>
          <w:tcPr>
            <w:tcW w:type="dxa" w:w="4500"/>
            <w:shd w:fill="1F4E78" w:color="auto" w:val="clear"/>
          </w:tcPr>
          <w:p>
            <w:r>
              <w:rPr>
                <w:b/>
                <w:bCs/>
                <w:color w:val="FFFFFF"/>
                <w:sz w:val="20"/>
                <w:szCs w:val="20"/>
              </w:rPr>
              <w:t xml:space="preserve">Value (km)</w:t>
            </w:r>
          </w:p>
        </w:tc>
      </w:tr>
      <w:tr>
        <w:tc>
          <w:tcPr>
            <w:tcW w:type="dxa" w:w="4500"/>
          </w:tcPr>
          <w:p>
            <w:r>
              <w:rPr>
                <w:sz w:val="20"/>
                <w:szCs w:val="20"/>
              </w:rPr>
              <w:t xml:space="preserve">Count</w:t>
            </w:r>
          </w:p>
        </w:tc>
        <w:tc>
          <w:tcPr>
            <w:tcW w:type="dxa" w:w="4500"/>
          </w:tcPr>
          <w:p>
            <w:r>
              <w:rPr>
                <w:sz w:val="20"/>
                <w:szCs w:val="20"/>
              </w:rPr>
              <w:t xml:space="preserve">9,986</w:t>
            </w:r>
          </w:p>
        </w:tc>
      </w:tr>
      <w:tr>
        <w:tc>
          <w:tcPr>
            <w:tcW w:type="dxa" w:w="4500"/>
            <w:shd w:fill="F2F5FA" w:color="auto" w:val="clear"/>
          </w:tcPr>
          <w:p>
            <w:r>
              <w:rPr>
                <w:sz w:val="20"/>
                <w:szCs w:val="20"/>
              </w:rPr>
              <w:t xml:space="preserve">Mean</w:t>
            </w:r>
          </w:p>
        </w:tc>
        <w:tc>
          <w:tcPr>
            <w:tcW w:type="dxa" w:w="4500"/>
            <w:shd w:fill="F2F5FA" w:color="auto" w:val="clear"/>
          </w:tcPr>
          <w:p>
            <w:r>
              <w:rPr>
                <w:sz w:val="20"/>
                <w:szCs w:val="20"/>
              </w:rPr>
              <w:t xml:space="preserve">108,363</w:t>
            </w:r>
          </w:p>
        </w:tc>
      </w:tr>
      <w:tr>
        <w:tc>
          <w:tcPr>
            <w:tcW w:type="dxa" w:w="4500"/>
          </w:tcPr>
          <w:p>
            <w:r>
              <w:rPr>
                <w:sz w:val="20"/>
                <w:szCs w:val="20"/>
              </w:rPr>
              <w:t xml:space="preserve">Std. Deviation</w:t>
            </w:r>
          </w:p>
        </w:tc>
        <w:tc>
          <w:tcPr>
            <w:tcW w:type="dxa" w:w="4500"/>
          </w:tcPr>
          <w:p>
            <w:r>
              <w:rPr>
                <w:sz w:val="20"/>
                <w:szCs w:val="20"/>
              </w:rPr>
              <w:t xml:space="preserve">73,048</w:t>
            </w:r>
          </w:p>
        </w:tc>
      </w:tr>
      <w:tr>
        <w:tc>
          <w:tcPr>
            <w:tcW w:type="dxa" w:w="4500"/>
            <w:shd w:fill="F2F5FA" w:color="auto" w:val="clear"/>
          </w:tcPr>
          <w:p>
            <w:r>
              <w:rPr>
                <w:sz w:val="20"/>
                <w:szCs w:val="20"/>
              </w:rPr>
              <w:t xml:space="preserve">Minimum</w:t>
            </w:r>
          </w:p>
        </w:tc>
        <w:tc>
          <w:tcPr>
            <w:tcW w:type="dxa" w:w="4500"/>
            <w:shd w:fill="F2F5FA" w:color="auto" w:val="clear"/>
          </w:tcPr>
          <w:p>
            <w:r>
              <w:rPr>
                <w:sz w:val="20"/>
                <w:szCs w:val="20"/>
              </w:rPr>
              <w:t xml:space="preserve">0</w:t>
            </w:r>
          </w:p>
        </w:tc>
      </w:tr>
      <w:tr>
        <w:tc>
          <w:tcPr>
            <w:tcW w:type="dxa" w:w="4500"/>
          </w:tcPr>
          <w:p>
            <w:r>
              <w:rPr>
                <w:sz w:val="20"/>
                <w:szCs w:val="20"/>
              </w:rPr>
              <w:t xml:space="preserve">25th Percentile</w:t>
            </w:r>
          </w:p>
        </w:tc>
        <w:tc>
          <w:tcPr>
            <w:tcW w:type="dxa" w:w="4500"/>
          </w:tcPr>
          <w:p>
            <w:r>
              <w:rPr>
                <w:sz w:val="20"/>
                <w:szCs w:val="20"/>
              </w:rPr>
              <w:t xml:space="preserve">49,249</w:t>
            </w:r>
          </w:p>
        </w:tc>
      </w:tr>
      <w:tr>
        <w:tc>
          <w:tcPr>
            <w:tcW w:type="dxa" w:w="4500"/>
            <w:shd w:fill="F2F5FA" w:color="auto" w:val="clear"/>
          </w:tcPr>
          <w:p>
            <w:r>
              <w:rPr>
                <w:sz w:val="20"/>
                <w:szCs w:val="20"/>
              </w:rPr>
              <w:t xml:space="preserve">Median</w:t>
            </w:r>
          </w:p>
        </w:tc>
        <w:tc>
          <w:tcPr>
            <w:tcW w:type="dxa" w:w="4500"/>
            <w:shd w:fill="F2F5FA" w:color="auto" w:val="clear"/>
          </w:tcPr>
          <w:p>
            <w:r>
              <w:rPr>
                <w:sz w:val="20"/>
                <w:szCs w:val="20"/>
              </w:rPr>
              <w:t xml:space="preserve">97,072</w:t>
            </w:r>
          </w:p>
        </w:tc>
      </w:tr>
      <w:tr>
        <w:tc>
          <w:tcPr>
            <w:tcW w:type="dxa" w:w="4500"/>
          </w:tcPr>
          <w:p>
            <w:r>
              <w:rPr>
                <w:sz w:val="20"/>
                <w:szCs w:val="20"/>
              </w:rPr>
              <w:t xml:space="preserve">75th Percentile</w:t>
            </w:r>
          </w:p>
        </w:tc>
        <w:tc>
          <w:tcPr>
            <w:tcW w:type="dxa" w:w="4500"/>
          </w:tcPr>
          <w:p>
            <w:r>
              <w:rPr>
                <w:sz w:val="20"/>
                <w:szCs w:val="20"/>
              </w:rPr>
              <w:t xml:space="preserve">154,394</w:t>
            </w:r>
          </w:p>
        </w:tc>
      </w:tr>
      <w:tr>
        <w:tc>
          <w:tcPr>
            <w:tcW w:type="dxa" w:w="4500"/>
            <w:shd w:fill="F2F5FA" w:color="auto" w:val="clear"/>
          </w:tcPr>
          <w:p>
            <w:r>
              <w:rPr>
                <w:sz w:val="20"/>
                <w:szCs w:val="20"/>
              </w:rPr>
              <w:t xml:space="preserve">Maximum</w:t>
            </w:r>
          </w:p>
        </w:tc>
        <w:tc>
          <w:tcPr>
            <w:tcW w:type="dxa" w:w="4500"/>
            <w:shd w:fill="F2F5FA" w:color="auto" w:val="clear"/>
          </w:tcPr>
          <w:p>
            <w:r>
              <w:rPr>
                <w:sz w:val="20"/>
                <w:szCs w:val="20"/>
              </w:rPr>
              <w:t xml:space="preserve">312,110</w:t>
            </w:r>
          </w:p>
        </w:tc>
      </w:tr>
    </w:tbl>
    <w:p>
      <w:pPr>
        <w:spacing w:after="120"/>
      </w:pPr>
      <w:r>
        <w:rPr>
          <w:i/>
          <w:iCs/>
          <w:sz w:val="20"/>
          <w:szCs w:val="20"/>
        </w:rPr>
        <w:t xml:space="preserve">Observation: The mileage histogram is right-skewed, with most vehicles falling between 0 and 150,000 km. A visible spike near 100,000 km suggests a common mileage band at which vehicles are frequently resold in the Pakistani market.</w:t>
      </w:r>
    </w:p>
    <w:p>
      <w:pPr>
        <w:pStyle w:val="Heading1"/>
        <w:spacing w:after="150" w:before="300"/>
      </w:pPr>
      <w:r>
        <w:t xml:space="preserve">9. Price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8" w:color="auto" w:val="clear"/>
          </w:tcPr>
          <w:p>
            <w:r>
              <w:rPr>
                <w:b/>
                <w:bCs/>
                <w:color w:val="FFFFFF"/>
                <w:sz w:val="20"/>
                <w:szCs w:val="20"/>
              </w:rPr>
              <w:t xml:space="preserve">Statistic</w:t>
            </w:r>
          </w:p>
        </w:tc>
        <w:tc>
          <w:tcPr>
            <w:tcW w:type="dxa" w:w="4500"/>
            <w:shd w:fill="1F4E78" w:color="auto" w:val="clear"/>
          </w:tcPr>
          <w:p>
            <w:r>
              <w:rPr>
                <w:b/>
                <w:bCs/>
                <w:color w:val="FFFFFF"/>
                <w:sz w:val="20"/>
                <w:szCs w:val="20"/>
              </w:rPr>
              <w:t xml:space="preserve">Value (PKR)</w:t>
            </w:r>
          </w:p>
        </w:tc>
      </w:tr>
      <w:tr>
        <w:tc>
          <w:tcPr>
            <w:tcW w:type="dxa" w:w="4500"/>
          </w:tcPr>
          <w:p>
            <w:r>
              <w:rPr>
                <w:sz w:val="20"/>
                <w:szCs w:val="20"/>
              </w:rPr>
              <w:t xml:space="preserve">Count</w:t>
            </w:r>
          </w:p>
        </w:tc>
        <w:tc>
          <w:tcPr>
            <w:tcW w:type="dxa" w:w="4500"/>
          </w:tcPr>
          <w:p>
            <w:r>
              <w:rPr>
                <w:sz w:val="20"/>
                <w:szCs w:val="20"/>
              </w:rPr>
              <w:t xml:space="preserve">9,986</w:t>
            </w:r>
          </w:p>
        </w:tc>
      </w:tr>
      <w:tr>
        <w:tc>
          <w:tcPr>
            <w:tcW w:type="dxa" w:w="4500"/>
            <w:shd w:fill="F2F5FA" w:color="auto" w:val="clear"/>
          </w:tcPr>
          <w:p>
            <w:r>
              <w:rPr>
                <w:sz w:val="20"/>
                <w:szCs w:val="20"/>
              </w:rPr>
              <w:t xml:space="preserve">Mean</w:t>
            </w:r>
          </w:p>
        </w:tc>
        <w:tc>
          <w:tcPr>
            <w:tcW w:type="dxa" w:w="4500"/>
            <w:shd w:fill="F2F5FA" w:color="auto" w:val="clear"/>
          </w:tcPr>
          <w:p>
            <w:r>
              <w:rPr>
                <w:sz w:val="20"/>
                <w:szCs w:val="20"/>
              </w:rPr>
              <w:t xml:space="preserve">2,024,705</w:t>
            </w:r>
          </w:p>
        </w:tc>
      </w:tr>
      <w:tr>
        <w:tc>
          <w:tcPr>
            <w:tcW w:type="dxa" w:w="4500"/>
          </w:tcPr>
          <w:p>
            <w:r>
              <w:rPr>
                <w:sz w:val="20"/>
                <w:szCs w:val="20"/>
              </w:rPr>
              <w:t xml:space="preserve">Std. Deviation</w:t>
            </w:r>
          </w:p>
        </w:tc>
        <w:tc>
          <w:tcPr>
            <w:tcW w:type="dxa" w:w="4500"/>
          </w:tcPr>
          <w:p>
            <w:r>
              <w:rPr>
                <w:sz w:val="20"/>
                <w:szCs w:val="20"/>
              </w:rPr>
              <w:t xml:space="preserve">1,716,977</w:t>
            </w:r>
          </w:p>
        </w:tc>
      </w:tr>
      <w:tr>
        <w:tc>
          <w:tcPr>
            <w:tcW w:type="dxa" w:w="4500"/>
            <w:shd w:fill="F2F5FA" w:color="auto" w:val="clear"/>
          </w:tcPr>
          <w:p>
            <w:r>
              <w:rPr>
                <w:sz w:val="20"/>
                <w:szCs w:val="20"/>
              </w:rPr>
              <w:t xml:space="preserve">Minimum</w:t>
            </w:r>
          </w:p>
        </w:tc>
        <w:tc>
          <w:tcPr>
            <w:tcW w:type="dxa" w:w="4500"/>
            <w:shd w:fill="F2F5FA" w:color="auto" w:val="clear"/>
          </w:tcPr>
          <w:p>
            <w:r>
              <w:rPr>
                <w:sz w:val="20"/>
                <w:szCs w:val="20"/>
              </w:rPr>
              <w:t xml:space="preserve">50,000</w:t>
            </w:r>
          </w:p>
        </w:tc>
      </w:tr>
      <w:tr>
        <w:tc>
          <w:tcPr>
            <w:tcW w:type="dxa" w:w="4500"/>
          </w:tcPr>
          <w:p>
            <w:r>
              <w:rPr>
                <w:sz w:val="20"/>
                <w:szCs w:val="20"/>
              </w:rPr>
              <w:t xml:space="preserve">25th Percentile</w:t>
            </w:r>
          </w:p>
        </w:tc>
        <w:tc>
          <w:tcPr>
            <w:tcW w:type="dxa" w:w="4500"/>
          </w:tcPr>
          <w:p>
            <w:r>
              <w:rPr>
                <w:sz w:val="20"/>
                <w:szCs w:val="20"/>
              </w:rPr>
              <w:t xml:space="preserve">695,000</w:t>
            </w:r>
          </w:p>
        </w:tc>
      </w:tr>
      <w:tr>
        <w:tc>
          <w:tcPr>
            <w:tcW w:type="dxa" w:w="4500"/>
            <w:shd w:fill="F2F5FA" w:color="auto" w:val="clear"/>
          </w:tcPr>
          <w:p>
            <w:r>
              <w:rPr>
                <w:sz w:val="20"/>
                <w:szCs w:val="20"/>
              </w:rPr>
              <w:t xml:space="preserve">Median</w:t>
            </w:r>
          </w:p>
        </w:tc>
        <w:tc>
          <w:tcPr>
            <w:tcW w:type="dxa" w:w="4500"/>
            <w:shd w:fill="F2F5FA" w:color="auto" w:val="clear"/>
          </w:tcPr>
          <w:p>
            <w:r>
              <w:rPr>
                <w:sz w:val="20"/>
                <w:szCs w:val="20"/>
              </w:rPr>
              <w:t xml:space="preserve">1,400,000</w:t>
            </w:r>
          </w:p>
        </w:tc>
      </w:tr>
      <w:tr>
        <w:tc>
          <w:tcPr>
            <w:tcW w:type="dxa" w:w="4500"/>
          </w:tcPr>
          <w:p>
            <w:r>
              <w:rPr>
                <w:sz w:val="20"/>
                <w:szCs w:val="20"/>
              </w:rPr>
              <w:t xml:space="preserve">75th Percentile</w:t>
            </w:r>
          </w:p>
        </w:tc>
        <w:tc>
          <w:tcPr>
            <w:tcW w:type="dxa" w:w="4500"/>
          </w:tcPr>
          <w:p>
            <w:r>
              <w:rPr>
                <w:sz w:val="20"/>
                <w:szCs w:val="20"/>
              </w:rPr>
              <w:t xml:space="preserve">2,820,000</w:t>
            </w:r>
          </w:p>
        </w:tc>
      </w:tr>
      <w:tr>
        <w:tc>
          <w:tcPr>
            <w:tcW w:type="dxa" w:w="4500"/>
            <w:shd w:fill="F2F5FA" w:color="auto" w:val="clear"/>
          </w:tcPr>
          <w:p>
            <w:r>
              <w:rPr>
                <w:sz w:val="20"/>
                <w:szCs w:val="20"/>
              </w:rPr>
              <w:t xml:space="preserve">Maximum</w:t>
            </w:r>
          </w:p>
        </w:tc>
        <w:tc>
          <w:tcPr>
            <w:tcW w:type="dxa" w:w="4500"/>
            <w:shd w:fill="F2F5FA" w:color="auto" w:val="clear"/>
          </w:tcPr>
          <w:p>
            <w:r>
              <w:rPr>
                <w:sz w:val="20"/>
                <w:szCs w:val="20"/>
              </w:rPr>
              <w:t xml:space="preserve">6,007,500</w:t>
            </w:r>
          </w:p>
        </w:tc>
      </w:tr>
    </w:tbl>
    <w:p>
      <w:pPr>
        <w:spacing w:after="120"/>
      </w:pPr>
      <w:r>
        <w:rPr>
          <w:i/>
          <w:iCs/>
          <w:sz w:val="20"/>
          <w:szCs w:val="20"/>
        </w:rPr>
        <w:t xml:space="preserve">Observation: The mean price (~PKR 2.02 million) is notably higher than the median (PKR 1.4 million), confirming a right-skewed distribution — most vehicles are moderately priced, while a smaller number of premium/luxury listings pull the average upward. During analysis, a residual data-entry error (a listing priced at PKR 1) was identified and corrected to a realistic minimum threshold, after which the minimum value became PKR 50,000.</w:t>
      </w:r>
    </w:p>
    <w:p>
      <w:pPr>
        <w:pStyle w:val="Heading1"/>
        <w:spacing w:after="150" w:before="300"/>
      </w:pPr>
      <w:r>
        <w:t xml:space="preserve">10. City-wise Listings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3900"/>
      </w:tblGrid>
      <w:tr>
        <w:trPr>
          <w:tblHeader/>
        </w:trPr>
        <w:tc>
          <w:tcPr>
            <w:tcW w:type="dxa" w:w="1200"/>
            <w:shd w:fill="1F4E78" w:color="auto" w:val="clear"/>
          </w:tcPr>
          <w:p>
            <w:r>
              <w:rPr>
                <w:b/>
                <w:bCs/>
                <w:color w:val="FFFFFF"/>
                <w:sz w:val="20"/>
                <w:szCs w:val="20"/>
              </w:rPr>
              <w:t xml:space="preserve">Rank</w:t>
            </w:r>
          </w:p>
        </w:tc>
        <w:tc>
          <w:tcPr>
            <w:tcW w:type="dxa" w:w="3900"/>
            <w:shd w:fill="1F4E78" w:color="auto" w:val="clear"/>
          </w:tcPr>
          <w:p>
            <w:r>
              <w:rPr>
                <w:b/>
                <w:bCs/>
                <w:color w:val="FFFFFF"/>
                <w:sz w:val="20"/>
                <w:szCs w:val="20"/>
              </w:rPr>
              <w:t xml:space="preserve">City</w:t>
            </w:r>
          </w:p>
        </w:tc>
        <w:tc>
          <w:tcPr>
            <w:tcW w:type="dxa" w:w="3900"/>
            <w:shd w:fill="1F4E78" w:color="auto" w:val="clear"/>
          </w:tcPr>
          <w:p>
            <w:r>
              <w:rPr>
                <w:b/>
                <w:bCs/>
                <w:color w:val="FFFFFF"/>
                <w:sz w:val="20"/>
                <w:szCs w:val="20"/>
              </w:rPr>
              <w:t xml:space="preserve">Listings</w:t>
            </w:r>
          </w:p>
        </w:tc>
      </w:tr>
      <w:tr>
        <w:tc>
          <w:tcPr>
            <w:tcW w:type="dxa" w:w="1200"/>
          </w:tcPr>
          <w:p>
            <w:r>
              <w:rPr>
                <w:sz w:val="20"/>
                <w:szCs w:val="20"/>
              </w:rPr>
              <w:t xml:space="preserve">1</w:t>
            </w:r>
          </w:p>
        </w:tc>
        <w:tc>
          <w:tcPr>
            <w:tcW w:type="dxa" w:w="3900"/>
          </w:tcPr>
          <w:p>
            <w:r>
              <w:rPr>
                <w:sz w:val="20"/>
                <w:szCs w:val="20"/>
              </w:rPr>
              <w:t xml:space="preserve">Karachi</w:t>
            </w:r>
          </w:p>
        </w:tc>
        <w:tc>
          <w:tcPr>
            <w:tcW w:type="dxa" w:w="3900"/>
          </w:tcPr>
          <w:p>
            <w:r>
              <w:rPr>
                <w:sz w:val="20"/>
                <w:szCs w:val="20"/>
              </w:rPr>
              <w:t xml:space="preserve">2,591</w:t>
            </w:r>
          </w:p>
        </w:tc>
      </w:tr>
      <w:tr>
        <w:tc>
          <w:tcPr>
            <w:tcW w:type="dxa" w:w="1200"/>
            <w:shd w:fill="F2F5FA" w:color="auto" w:val="clear"/>
          </w:tcPr>
          <w:p>
            <w:r>
              <w:rPr>
                <w:sz w:val="20"/>
                <w:szCs w:val="20"/>
              </w:rPr>
              <w:t xml:space="preserve">2</w:t>
            </w:r>
          </w:p>
        </w:tc>
        <w:tc>
          <w:tcPr>
            <w:tcW w:type="dxa" w:w="3900"/>
            <w:shd w:fill="F2F5FA" w:color="auto" w:val="clear"/>
          </w:tcPr>
          <w:p>
            <w:r>
              <w:rPr>
                <w:sz w:val="20"/>
                <w:szCs w:val="20"/>
              </w:rPr>
              <w:t xml:space="preserve">Lahore</w:t>
            </w:r>
          </w:p>
        </w:tc>
        <w:tc>
          <w:tcPr>
            <w:tcW w:type="dxa" w:w="3900"/>
            <w:shd w:fill="F2F5FA" w:color="auto" w:val="clear"/>
          </w:tcPr>
          <w:p>
            <w:r>
              <w:rPr>
                <w:sz w:val="20"/>
                <w:szCs w:val="20"/>
              </w:rPr>
              <w:t xml:space="preserve">2,182</w:t>
            </w:r>
          </w:p>
        </w:tc>
      </w:tr>
      <w:tr>
        <w:tc>
          <w:tcPr>
            <w:tcW w:type="dxa" w:w="1200"/>
          </w:tcPr>
          <w:p>
            <w:r>
              <w:rPr>
                <w:sz w:val="20"/>
                <w:szCs w:val="20"/>
              </w:rPr>
              <w:t xml:space="preserve">3</w:t>
            </w:r>
          </w:p>
        </w:tc>
        <w:tc>
          <w:tcPr>
            <w:tcW w:type="dxa" w:w="3900"/>
          </w:tcPr>
          <w:p>
            <w:r>
              <w:rPr>
                <w:sz w:val="20"/>
                <w:szCs w:val="20"/>
              </w:rPr>
              <w:t xml:space="preserve">Faisalabad</w:t>
            </w:r>
          </w:p>
        </w:tc>
        <w:tc>
          <w:tcPr>
            <w:tcW w:type="dxa" w:w="3900"/>
          </w:tcPr>
          <w:p>
            <w:r>
              <w:rPr>
                <w:sz w:val="20"/>
                <w:szCs w:val="20"/>
              </w:rPr>
              <w:t xml:space="preserve">763</w:t>
            </w:r>
          </w:p>
        </w:tc>
      </w:tr>
      <w:tr>
        <w:tc>
          <w:tcPr>
            <w:tcW w:type="dxa" w:w="1200"/>
            <w:shd w:fill="F2F5FA" w:color="auto" w:val="clear"/>
          </w:tcPr>
          <w:p>
            <w:r>
              <w:rPr>
                <w:sz w:val="20"/>
                <w:szCs w:val="20"/>
              </w:rPr>
              <w:t xml:space="preserve">4</w:t>
            </w:r>
          </w:p>
        </w:tc>
        <w:tc>
          <w:tcPr>
            <w:tcW w:type="dxa" w:w="3900"/>
            <w:shd w:fill="F2F5FA" w:color="auto" w:val="clear"/>
          </w:tcPr>
          <w:p>
            <w:r>
              <w:rPr>
                <w:sz w:val="20"/>
                <w:szCs w:val="20"/>
              </w:rPr>
              <w:t xml:space="preserve">Islamabad</w:t>
            </w:r>
          </w:p>
        </w:tc>
        <w:tc>
          <w:tcPr>
            <w:tcW w:type="dxa" w:w="3900"/>
            <w:shd w:fill="F2F5FA" w:color="auto" w:val="clear"/>
          </w:tcPr>
          <w:p>
            <w:r>
              <w:rPr>
                <w:sz w:val="20"/>
                <w:szCs w:val="20"/>
              </w:rPr>
              <w:t xml:space="preserve">748</w:t>
            </w:r>
          </w:p>
        </w:tc>
      </w:tr>
      <w:tr>
        <w:tc>
          <w:tcPr>
            <w:tcW w:type="dxa" w:w="1200"/>
          </w:tcPr>
          <w:p>
            <w:r>
              <w:rPr>
                <w:sz w:val="20"/>
                <w:szCs w:val="20"/>
              </w:rPr>
              <w:t xml:space="preserve">5</w:t>
            </w:r>
          </w:p>
        </w:tc>
        <w:tc>
          <w:tcPr>
            <w:tcW w:type="dxa" w:w="3900"/>
          </w:tcPr>
          <w:p>
            <w:r>
              <w:rPr>
                <w:sz w:val="20"/>
                <w:szCs w:val="20"/>
              </w:rPr>
              <w:t xml:space="preserve">Rawalpindi</w:t>
            </w:r>
          </w:p>
        </w:tc>
        <w:tc>
          <w:tcPr>
            <w:tcW w:type="dxa" w:w="3900"/>
          </w:tcPr>
          <w:p>
            <w:r>
              <w:rPr>
                <w:sz w:val="20"/>
                <w:szCs w:val="20"/>
              </w:rPr>
              <w:t xml:space="preserve">692</w:t>
            </w:r>
          </w:p>
        </w:tc>
      </w:tr>
      <w:tr>
        <w:tc>
          <w:tcPr>
            <w:tcW w:type="dxa" w:w="1200"/>
            <w:shd w:fill="F2F5FA" w:color="auto" w:val="clear"/>
          </w:tcPr>
          <w:p>
            <w:r>
              <w:rPr>
                <w:sz w:val="20"/>
                <w:szCs w:val="20"/>
              </w:rPr>
              <w:t xml:space="preserve">6</w:t>
            </w:r>
          </w:p>
        </w:tc>
        <w:tc>
          <w:tcPr>
            <w:tcW w:type="dxa" w:w="3900"/>
            <w:shd w:fill="F2F5FA" w:color="auto" w:val="clear"/>
          </w:tcPr>
          <w:p>
            <w:r>
              <w:rPr>
                <w:sz w:val="20"/>
                <w:szCs w:val="20"/>
              </w:rPr>
              <w:t xml:space="preserve">Peshawar</w:t>
            </w:r>
          </w:p>
        </w:tc>
        <w:tc>
          <w:tcPr>
            <w:tcW w:type="dxa" w:w="3900"/>
            <w:shd w:fill="F2F5FA" w:color="auto" w:val="clear"/>
          </w:tcPr>
          <w:p>
            <w:r>
              <w:rPr>
                <w:sz w:val="20"/>
                <w:szCs w:val="20"/>
              </w:rPr>
              <w:t xml:space="preserve">478</w:t>
            </w:r>
          </w:p>
        </w:tc>
      </w:tr>
      <w:tr>
        <w:tc>
          <w:tcPr>
            <w:tcW w:type="dxa" w:w="1200"/>
          </w:tcPr>
          <w:p>
            <w:r>
              <w:rPr>
                <w:sz w:val="20"/>
                <w:szCs w:val="20"/>
              </w:rPr>
              <w:t xml:space="preserve">7</w:t>
            </w:r>
          </w:p>
        </w:tc>
        <w:tc>
          <w:tcPr>
            <w:tcW w:type="dxa" w:w="3900"/>
          </w:tcPr>
          <w:p>
            <w:r>
              <w:rPr>
                <w:sz w:val="20"/>
                <w:szCs w:val="20"/>
              </w:rPr>
              <w:t xml:space="preserve">Multan</w:t>
            </w:r>
          </w:p>
        </w:tc>
        <w:tc>
          <w:tcPr>
            <w:tcW w:type="dxa" w:w="3900"/>
          </w:tcPr>
          <w:p>
            <w:r>
              <w:rPr>
                <w:sz w:val="20"/>
                <w:szCs w:val="20"/>
              </w:rPr>
              <w:t xml:space="preserve">465</w:t>
            </w:r>
          </w:p>
        </w:tc>
      </w:tr>
      <w:tr>
        <w:tc>
          <w:tcPr>
            <w:tcW w:type="dxa" w:w="1200"/>
            <w:shd w:fill="F2F5FA" w:color="auto" w:val="clear"/>
          </w:tcPr>
          <w:p>
            <w:r>
              <w:rPr>
                <w:sz w:val="20"/>
                <w:szCs w:val="20"/>
              </w:rPr>
              <w:t xml:space="preserve">8</w:t>
            </w:r>
          </w:p>
        </w:tc>
        <w:tc>
          <w:tcPr>
            <w:tcW w:type="dxa" w:w="3900"/>
            <w:shd w:fill="F2F5FA" w:color="auto" w:val="clear"/>
          </w:tcPr>
          <w:p>
            <w:r>
              <w:rPr>
                <w:sz w:val="20"/>
                <w:szCs w:val="20"/>
              </w:rPr>
              <w:t xml:space="preserve">Sialkot</w:t>
            </w:r>
          </w:p>
        </w:tc>
        <w:tc>
          <w:tcPr>
            <w:tcW w:type="dxa" w:w="3900"/>
            <w:shd w:fill="F2F5FA" w:color="auto" w:val="clear"/>
          </w:tcPr>
          <w:p>
            <w:r>
              <w:rPr>
                <w:sz w:val="20"/>
                <w:szCs w:val="20"/>
              </w:rPr>
              <w:t xml:space="preserve">424</w:t>
            </w:r>
          </w:p>
        </w:tc>
      </w:tr>
      <w:tr>
        <w:tc>
          <w:tcPr>
            <w:tcW w:type="dxa" w:w="1200"/>
          </w:tcPr>
          <w:p>
            <w:r>
              <w:rPr>
                <w:sz w:val="20"/>
                <w:szCs w:val="20"/>
              </w:rPr>
              <w:t xml:space="preserve">9</w:t>
            </w:r>
          </w:p>
        </w:tc>
        <w:tc>
          <w:tcPr>
            <w:tcW w:type="dxa" w:w="3900"/>
          </w:tcPr>
          <w:p>
            <w:r>
              <w:rPr>
                <w:sz w:val="20"/>
                <w:szCs w:val="20"/>
              </w:rPr>
              <w:t xml:space="preserve">Gujranwala</w:t>
            </w:r>
          </w:p>
        </w:tc>
        <w:tc>
          <w:tcPr>
            <w:tcW w:type="dxa" w:w="3900"/>
          </w:tcPr>
          <w:p>
            <w:r>
              <w:rPr>
                <w:sz w:val="20"/>
                <w:szCs w:val="20"/>
              </w:rPr>
              <w:t xml:space="preserve">377</w:t>
            </w:r>
          </w:p>
        </w:tc>
      </w:tr>
      <w:tr>
        <w:tc>
          <w:tcPr>
            <w:tcW w:type="dxa" w:w="1200"/>
            <w:shd w:fill="F2F5FA" w:color="auto" w:val="clear"/>
          </w:tcPr>
          <w:p>
            <w:r>
              <w:rPr>
                <w:sz w:val="20"/>
                <w:szCs w:val="20"/>
              </w:rPr>
              <w:t xml:space="preserve">10</w:t>
            </w:r>
          </w:p>
        </w:tc>
        <w:tc>
          <w:tcPr>
            <w:tcW w:type="dxa" w:w="3900"/>
            <w:shd w:fill="F2F5FA" w:color="auto" w:val="clear"/>
          </w:tcPr>
          <w:p>
            <w:r>
              <w:rPr>
                <w:sz w:val="20"/>
                <w:szCs w:val="20"/>
              </w:rPr>
              <w:t xml:space="preserve">Hyderabad</w:t>
            </w:r>
          </w:p>
        </w:tc>
        <w:tc>
          <w:tcPr>
            <w:tcW w:type="dxa" w:w="3900"/>
            <w:shd w:fill="F2F5FA" w:color="auto" w:val="clear"/>
          </w:tcPr>
          <w:p>
            <w:r>
              <w:rPr>
                <w:sz w:val="20"/>
                <w:szCs w:val="20"/>
              </w:rPr>
              <w:t xml:space="preserve">287</w:t>
            </w:r>
          </w:p>
        </w:tc>
      </w:tr>
      <w:tr>
        <w:tc>
          <w:tcPr>
            <w:tcW w:type="dxa" w:w="1200"/>
          </w:tcPr>
          <w:p>
            <w:r>
              <w:rPr>
                <w:sz w:val="20"/>
                <w:szCs w:val="20"/>
              </w:rPr>
              <w:t xml:space="preserve">11</w:t>
            </w:r>
          </w:p>
        </w:tc>
        <w:tc>
          <w:tcPr>
            <w:tcW w:type="dxa" w:w="3900"/>
          </w:tcPr>
          <w:p>
            <w:r>
              <w:rPr>
                <w:sz w:val="20"/>
                <w:szCs w:val="20"/>
              </w:rPr>
              <w:t xml:space="preserve">Quetta</w:t>
            </w:r>
          </w:p>
        </w:tc>
        <w:tc>
          <w:tcPr>
            <w:tcW w:type="dxa" w:w="3900"/>
          </w:tcPr>
          <w:p>
            <w:r>
              <w:rPr>
                <w:sz w:val="20"/>
                <w:szCs w:val="20"/>
              </w:rPr>
              <w:t xml:space="preserve">216</w:t>
            </w:r>
          </w:p>
        </w:tc>
      </w:tr>
      <w:tr>
        <w:tc>
          <w:tcPr>
            <w:tcW w:type="dxa" w:w="1200"/>
            <w:shd w:fill="F2F5FA" w:color="auto" w:val="clear"/>
          </w:tcPr>
          <w:p>
            <w:r>
              <w:rPr>
                <w:sz w:val="20"/>
                <w:szCs w:val="20"/>
              </w:rPr>
              <w:t xml:space="preserve">12</w:t>
            </w:r>
          </w:p>
        </w:tc>
        <w:tc>
          <w:tcPr>
            <w:tcW w:type="dxa" w:w="3900"/>
            <w:shd w:fill="F2F5FA" w:color="auto" w:val="clear"/>
          </w:tcPr>
          <w:p>
            <w:r>
              <w:rPr>
                <w:sz w:val="20"/>
                <w:szCs w:val="20"/>
              </w:rPr>
              <w:t xml:space="preserve">Sargodha</w:t>
            </w:r>
          </w:p>
        </w:tc>
        <w:tc>
          <w:tcPr>
            <w:tcW w:type="dxa" w:w="3900"/>
            <w:shd w:fill="F2F5FA" w:color="auto" w:val="clear"/>
          </w:tcPr>
          <w:p>
            <w:r>
              <w:rPr>
                <w:sz w:val="20"/>
                <w:szCs w:val="20"/>
              </w:rPr>
              <w:t xml:space="preserve">197</w:t>
            </w:r>
          </w:p>
        </w:tc>
      </w:tr>
      <w:tr>
        <w:tc>
          <w:tcPr>
            <w:tcW w:type="dxa" w:w="1200"/>
          </w:tcPr>
          <w:p>
            <w:r>
              <w:rPr>
                <w:sz w:val="20"/>
                <w:szCs w:val="20"/>
              </w:rPr>
              <w:t xml:space="preserve">13</w:t>
            </w:r>
          </w:p>
        </w:tc>
        <w:tc>
          <w:tcPr>
            <w:tcW w:type="dxa" w:w="3900"/>
          </w:tcPr>
          <w:p>
            <w:r>
              <w:rPr>
                <w:sz w:val="20"/>
                <w:szCs w:val="20"/>
              </w:rPr>
              <w:t xml:space="preserve">Gujrat</w:t>
            </w:r>
          </w:p>
        </w:tc>
        <w:tc>
          <w:tcPr>
            <w:tcW w:type="dxa" w:w="3900"/>
          </w:tcPr>
          <w:p>
            <w:r>
              <w:rPr>
                <w:sz w:val="20"/>
                <w:szCs w:val="20"/>
              </w:rPr>
              <w:t xml:space="preserve">194</w:t>
            </w:r>
          </w:p>
        </w:tc>
      </w:tr>
      <w:tr>
        <w:tc>
          <w:tcPr>
            <w:tcW w:type="dxa" w:w="1200"/>
            <w:shd w:fill="F2F5FA" w:color="auto" w:val="clear"/>
          </w:tcPr>
          <w:p>
            <w:r>
              <w:rPr>
                <w:sz w:val="20"/>
                <w:szCs w:val="20"/>
              </w:rPr>
              <w:t xml:space="preserve">14</w:t>
            </w:r>
          </w:p>
        </w:tc>
        <w:tc>
          <w:tcPr>
            <w:tcW w:type="dxa" w:w="3900"/>
            <w:shd w:fill="F2F5FA" w:color="auto" w:val="clear"/>
          </w:tcPr>
          <w:p>
            <w:r>
              <w:rPr>
                <w:sz w:val="20"/>
                <w:szCs w:val="20"/>
              </w:rPr>
              <w:t xml:space="preserve">Bahawalpur</w:t>
            </w:r>
          </w:p>
        </w:tc>
        <w:tc>
          <w:tcPr>
            <w:tcW w:type="dxa" w:w="3900"/>
            <w:shd w:fill="F2F5FA" w:color="auto" w:val="clear"/>
          </w:tcPr>
          <w:p>
            <w:r>
              <w:rPr>
                <w:sz w:val="20"/>
                <w:szCs w:val="20"/>
              </w:rPr>
              <w:t xml:space="preserve">187</w:t>
            </w:r>
          </w:p>
        </w:tc>
      </w:tr>
      <w:tr>
        <w:tc>
          <w:tcPr>
            <w:tcW w:type="dxa" w:w="1200"/>
          </w:tcPr>
          <w:p>
            <w:r>
              <w:rPr>
                <w:sz w:val="20"/>
                <w:szCs w:val="20"/>
              </w:rPr>
              <w:t xml:space="preserve">15</w:t>
            </w:r>
          </w:p>
        </w:tc>
        <w:tc>
          <w:tcPr>
            <w:tcW w:type="dxa" w:w="3900"/>
          </w:tcPr>
          <w:p>
            <w:r>
              <w:rPr>
                <w:sz w:val="20"/>
                <w:szCs w:val="20"/>
              </w:rPr>
              <w:t xml:space="preserve">Sheikhupura</w:t>
            </w:r>
          </w:p>
        </w:tc>
        <w:tc>
          <w:tcPr>
            <w:tcW w:type="dxa" w:w="3900"/>
          </w:tcPr>
          <w:p>
            <w:r>
              <w:rPr>
                <w:sz w:val="20"/>
                <w:szCs w:val="20"/>
              </w:rPr>
              <w:t xml:space="preserve">185</w:t>
            </w:r>
          </w:p>
        </w:tc>
      </w:tr>
    </w:tbl>
    <w:p>
      <w:pPr>
        <w:spacing w:after="120"/>
      </w:pPr>
      <w:r>
        <w:rPr>
          <w:i/>
          <w:iCs/>
          <w:sz w:val="20"/>
          <w:szCs w:val="20"/>
        </w:rPr>
        <w:t xml:space="preserve">Observation: Karachi and Lahore together account for roughly 46% of all listings, consistent with their status as Pakistan's largest urban centers. Listing volume drops off sharply for smaller cities, forming a long-tail distribution.</w:t>
      </w:r>
    </w:p>
    <w:p>
      <w:pPr>
        <w:pStyle w:val="Heading1"/>
        <w:spacing w:after="150" w:before="300"/>
      </w:pPr>
      <w:r>
        <w:t xml:space="preserve">11. Key EDA Takeaways</w:t>
      </w:r>
    </w:p>
    <w:p>
      <w:pPr>
        <w:spacing w:after="120"/>
      </w:pPr>
      <w:r>
        <w:t xml:space="preserve">• Suzuki, Toyota, and Honda dominate the brand landscape (~68% combined share).</w:t>
      </w:r>
    </w:p>
    <w:p>
      <w:pPr>
        <w:spacing w:after="120"/>
      </w:pPr>
      <w:r>
        <w:t xml:space="preserve">• Petrol is the leading fuel type, but Hybrid adoption is emerging.</w:t>
      </w:r>
    </w:p>
    <w:p>
      <w:pPr>
        <w:spacing w:after="120"/>
      </w:pPr>
      <w:r>
        <w:t xml:space="preserve">• Automatic transmission is now the market norm (75% of listings).</w:t>
      </w:r>
    </w:p>
    <w:p>
      <w:pPr>
        <w:spacing w:after="120"/>
      </w:pPr>
      <w:r>
        <w:t xml:space="preserve">• Price and mileage distributions are right-skewed, indicating a mass-market of affordable, moderately-used vehicles alongside a smaller premium segment.</w:t>
      </w:r>
    </w:p>
    <w:p>
      <w:pPr>
        <w:spacing w:after="120"/>
      </w:pPr>
      <w:r>
        <w:t xml:space="preserve">• Karachi and Lahore are the two largest hubs of used car listings by a significant margin.</w:t>
      </w:r>
    </w:p>
    <w:p>
      <w:pPr>
        <w:pStyle w:val="Heading1"/>
        <w:spacing w:after="150" w:before="300"/>
      </w:pPr>
      <w:r>
        <w:t xml:space="preserve">12. Conclusion</w:t>
      </w:r>
    </w:p>
    <w:p>
      <w:pPr>
        <w:spacing w:after="120"/>
      </w:pPr>
      <w:r>
        <w:t xml:space="preserve">The exploratory analysis confirms that Pakistan's used car market is heavily concentrated around a few dominant brands, cities, and vehicle configurations (petrol, automatic, compact engine capacity). These patterns provide a strong foundation for the correlation, segmentation, and market trend analysis to be conducted in Day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2026-07-04T10:34:50.942Z</dcterms:created>
  <dcterms:modified xsi:type="dcterms:W3CDTF">2026-07-04T10:34:50.957Z</dcterms:modified>
</cp:coreProperties>
</file>

<file path=docProps/custom.xml><?xml version="1.0" encoding="utf-8"?>
<Properties xmlns="http://schemas.openxmlformats.org/officeDocument/2006/custom-properties" xmlns:vt="http://schemas.openxmlformats.org/officeDocument/2006/docPropsVTypes"/>
</file>